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4639" w14:textId="77777777" w:rsidR="001A3D34"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553C443F" wp14:editId="0413034D">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3BD6A"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A467B00"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CE993A1"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7D15F27"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63C48F0"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1C6FD00" w14:textId="52075815" w:rsidR="001A3D34"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2"/>
          <w:szCs w:val="32"/>
        </w:rPr>
      </w:pPr>
      <w:r>
        <w:rPr>
          <w:rFonts w:ascii="Arial" w:eastAsia="Arial" w:hAnsi="Arial" w:cs="Arial"/>
          <w:sz w:val="32"/>
          <w:szCs w:val="32"/>
        </w:rPr>
        <w:t>Presse</w:t>
      </w:r>
      <w:r w:rsidR="007931C7">
        <w:rPr>
          <w:rFonts w:ascii="Arial" w:eastAsia="Arial" w:hAnsi="Arial" w:cs="Arial"/>
          <w:sz w:val="32"/>
          <w:szCs w:val="32"/>
        </w:rPr>
        <w:t>meldung</w:t>
      </w:r>
    </w:p>
    <w:p w14:paraId="39E4AC5C" w14:textId="1896CEF1" w:rsidR="001A3D34"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4F158E">
        <w:rPr>
          <w:rFonts w:ascii="Arial" w:eastAsia="Arial" w:hAnsi="Arial" w:cs="Arial"/>
          <w:sz w:val="22"/>
          <w:szCs w:val="22"/>
        </w:rPr>
        <w:t>08</w:t>
      </w:r>
      <w:r>
        <w:rPr>
          <w:rFonts w:ascii="Arial" w:eastAsia="Arial" w:hAnsi="Arial" w:cs="Arial"/>
          <w:sz w:val="22"/>
          <w:szCs w:val="22"/>
        </w:rPr>
        <w:t xml:space="preserve">. </w:t>
      </w:r>
      <w:r w:rsidR="004F158E">
        <w:rPr>
          <w:rFonts w:ascii="Arial" w:eastAsia="Arial" w:hAnsi="Arial" w:cs="Arial"/>
          <w:sz w:val="22"/>
          <w:szCs w:val="22"/>
        </w:rPr>
        <w:t>Mai 2024</w:t>
      </w:r>
    </w:p>
    <w:p w14:paraId="14B52A94" w14:textId="6C6E2504" w:rsidR="001A3D34" w:rsidRDefault="00000000">
      <w:pPr>
        <w:pStyle w:val="StandardWeb"/>
        <w:rPr>
          <w:rFonts w:ascii="Arial" w:hAnsi="Arial" w:cs="Arial"/>
          <w:sz w:val="22"/>
          <w:szCs w:val="22"/>
          <w:u w:val="single"/>
        </w:rPr>
      </w:pPr>
      <w:r>
        <w:rPr>
          <w:rFonts w:ascii="Arial" w:hAnsi="Arial" w:cs="Arial"/>
          <w:b/>
          <w:bCs/>
          <w:sz w:val="36"/>
          <w:szCs w:val="36"/>
        </w:rPr>
        <w:softHyphen/>
      </w:r>
      <w:r>
        <w:rPr>
          <w:rFonts w:ascii="Arial" w:hAnsi="Arial" w:cs="Arial"/>
          <w:b/>
          <w:bCs/>
          <w:sz w:val="36"/>
          <w:szCs w:val="36"/>
        </w:rPr>
        <w:softHyphen/>
      </w:r>
      <w:r w:rsidR="004F158E" w:rsidRPr="004F158E">
        <w:rPr>
          <w:rFonts w:ascii="Arial" w:hAnsi="Arial" w:cs="Arial"/>
          <w:sz w:val="22"/>
          <w:szCs w:val="22"/>
          <w:u w:val="single"/>
        </w:rPr>
        <w:t>Kostenloser Leitfaden</w:t>
      </w:r>
      <w:r>
        <w:rPr>
          <w:rFonts w:ascii="Arial" w:hAnsi="Arial" w:cs="Arial"/>
          <w:sz w:val="22"/>
          <w:szCs w:val="22"/>
          <w:u w:val="single"/>
        </w:rPr>
        <w:t xml:space="preserve"> </w:t>
      </w:r>
    </w:p>
    <w:p w14:paraId="59116A18" w14:textId="77777777" w:rsidR="004F158E" w:rsidRDefault="004F158E">
      <w:pPr>
        <w:pStyle w:val="StandardWeb"/>
        <w:rPr>
          <w:rFonts w:ascii="Arial" w:hAnsi="Arial" w:cs="Arial"/>
          <w:b/>
          <w:bCs/>
          <w:sz w:val="32"/>
          <w:szCs w:val="32"/>
        </w:rPr>
      </w:pPr>
      <w:r w:rsidRPr="004F158E">
        <w:rPr>
          <w:rFonts w:ascii="Arial" w:hAnsi="Arial" w:cs="Arial"/>
          <w:b/>
          <w:bCs/>
          <w:sz w:val="32"/>
          <w:szCs w:val="32"/>
        </w:rPr>
        <w:t>Damit Krankenhäuser liquide bleiben</w:t>
      </w:r>
    </w:p>
    <w:p w14:paraId="43FF489D" w14:textId="77777777" w:rsidR="004F158E" w:rsidRDefault="004F158E" w:rsidP="004F158E">
      <w:pPr>
        <w:rPr>
          <w:rFonts w:ascii="Arial" w:hAnsi="Arial" w:cs="Arial"/>
          <w:sz w:val="22"/>
          <w:szCs w:val="22"/>
        </w:rPr>
      </w:pPr>
      <w:r w:rsidRPr="004F158E">
        <w:rPr>
          <w:rFonts w:ascii="Arial" w:hAnsi="Arial" w:cs="Arial"/>
          <w:sz w:val="22"/>
          <w:szCs w:val="22"/>
        </w:rPr>
        <w:t xml:space="preserve">Wird das Jahr 2024 für deutsche Krankenhäuser ein Negativrekordjahr durch eine weiterhin wachsende Anzahl an Insolvenzen? Das befürchten Branchenkenner. Denn die Schere zwischen Kosten und Erlösen klafft bei öffentlichen, freigemeinnützigen und privaten Einrichtungen immer weiter auseinander. </w:t>
      </w:r>
    </w:p>
    <w:p w14:paraId="239937F2" w14:textId="77777777" w:rsidR="004F158E" w:rsidRPr="004F158E" w:rsidRDefault="004F158E" w:rsidP="004F158E">
      <w:pPr>
        <w:rPr>
          <w:rFonts w:ascii="Arial" w:hAnsi="Arial" w:cs="Arial"/>
          <w:sz w:val="22"/>
          <w:szCs w:val="22"/>
        </w:rPr>
      </w:pPr>
    </w:p>
    <w:p w14:paraId="33918DE5" w14:textId="77777777" w:rsidR="004F158E" w:rsidRDefault="004F158E" w:rsidP="004F158E">
      <w:pPr>
        <w:rPr>
          <w:rFonts w:ascii="Arial" w:hAnsi="Arial" w:cs="Arial"/>
          <w:sz w:val="22"/>
          <w:szCs w:val="22"/>
        </w:rPr>
      </w:pPr>
      <w:r w:rsidRPr="004F158E">
        <w:rPr>
          <w:rFonts w:ascii="Arial" w:hAnsi="Arial" w:cs="Arial"/>
          <w:sz w:val="22"/>
          <w:szCs w:val="22"/>
        </w:rPr>
        <w:t xml:space="preserve">Die Bank für Kirche und Diakonie und die Wirtschaftsprüfungs- und Beratungsgesellschaft </w:t>
      </w:r>
      <w:proofErr w:type="spellStart"/>
      <w:r w:rsidRPr="004F158E">
        <w:rPr>
          <w:rFonts w:ascii="Arial" w:hAnsi="Arial" w:cs="Arial"/>
          <w:sz w:val="22"/>
          <w:szCs w:val="22"/>
        </w:rPr>
        <w:t>Curacon</w:t>
      </w:r>
      <w:proofErr w:type="spellEnd"/>
      <w:r w:rsidRPr="004F158E">
        <w:rPr>
          <w:rFonts w:ascii="Arial" w:hAnsi="Arial" w:cs="Arial"/>
          <w:sz w:val="22"/>
          <w:szCs w:val="22"/>
        </w:rPr>
        <w:t xml:space="preserve">, wollen Krankenhäuser dabei unterstützen, liquide zu bleiben. Dazu haben sie ihr Wissen gebündelt und eine kostenlos verfügbare Publikation herausgegeben: den Leitfaden zur Liquiditätsplanung und -steuerung im Krankenhaus. </w:t>
      </w:r>
    </w:p>
    <w:p w14:paraId="5A62A468" w14:textId="77777777" w:rsidR="004F158E" w:rsidRPr="004F158E" w:rsidRDefault="004F158E" w:rsidP="004F158E">
      <w:pPr>
        <w:rPr>
          <w:rFonts w:ascii="Arial" w:hAnsi="Arial" w:cs="Arial"/>
          <w:sz w:val="22"/>
          <w:szCs w:val="22"/>
        </w:rPr>
      </w:pPr>
    </w:p>
    <w:p w14:paraId="71FD6261" w14:textId="4A6B0FBF" w:rsidR="004F158E" w:rsidRPr="004F158E" w:rsidRDefault="004F158E" w:rsidP="004F158E">
      <w:pPr>
        <w:rPr>
          <w:rFonts w:ascii="Arial" w:hAnsi="Arial" w:cs="Arial"/>
          <w:color w:val="FF0000"/>
          <w:sz w:val="22"/>
          <w:szCs w:val="22"/>
        </w:rPr>
      </w:pPr>
      <w:r w:rsidRPr="004F158E">
        <w:rPr>
          <w:rFonts w:ascii="Arial" w:hAnsi="Arial" w:cs="Arial"/>
          <w:sz w:val="22"/>
          <w:szCs w:val="22"/>
        </w:rPr>
        <w:t xml:space="preserve">Auf zwölf Seiten erläutern sie unter anderem das Instrument einer „rollierenden Liquiditätsprognose“. Mit dieser Methodik lassen sich Liquiditätsrisiken frühzeitig erkennen und diesen gegensteuern. Der Leitfaden bietet zudem eine Übersicht über Vorteile und Grenzen verschiedener die </w:t>
      </w:r>
      <w:r w:rsidRPr="00EE2FE7">
        <w:rPr>
          <w:rFonts w:ascii="Arial" w:hAnsi="Arial" w:cs="Arial"/>
          <w:color w:val="000000" w:themeColor="text1"/>
          <w:sz w:val="22"/>
          <w:szCs w:val="22"/>
        </w:rPr>
        <w:t xml:space="preserve">Liquidität stabilisierende Finanzierungsquellen – von Factoring bis zur Zwischenfinanzierung.  Link: </w:t>
      </w:r>
      <w:hyperlink r:id="rId8" w:history="1">
        <w:r w:rsidR="00EE2FE7" w:rsidRPr="00EE2FE7">
          <w:rPr>
            <w:rStyle w:val="Hyperlink"/>
            <w:rFonts w:ascii="Arial" w:hAnsi="Arial" w:cs="Arial"/>
            <w:color w:val="000000" w:themeColor="text1"/>
            <w:sz w:val="22"/>
            <w:szCs w:val="22"/>
          </w:rPr>
          <w:t>www.KD-</w:t>
        </w:r>
      </w:hyperlink>
      <w:r w:rsidR="00EE2FE7" w:rsidRPr="00EE2FE7">
        <w:rPr>
          <w:rFonts w:ascii="Arial" w:hAnsi="Arial" w:cs="Arial"/>
          <w:color w:val="000000" w:themeColor="text1"/>
          <w:sz w:val="22"/>
          <w:szCs w:val="22"/>
        </w:rPr>
        <w:t>B</w:t>
      </w:r>
      <w:r w:rsidRPr="00EE2FE7">
        <w:rPr>
          <w:rFonts w:ascii="Arial" w:hAnsi="Arial" w:cs="Arial"/>
          <w:color w:val="000000" w:themeColor="text1"/>
          <w:sz w:val="22"/>
          <w:szCs w:val="22"/>
        </w:rPr>
        <w:t>ank.de</w:t>
      </w:r>
      <w:r w:rsidR="00EE2FE7" w:rsidRPr="00EE2FE7">
        <w:rPr>
          <w:rFonts w:ascii="Arial" w:hAnsi="Arial" w:cs="Arial"/>
          <w:color w:val="000000" w:themeColor="text1"/>
          <w:sz w:val="22"/>
          <w:szCs w:val="22"/>
        </w:rPr>
        <w:t>/Liquidit</w:t>
      </w:r>
      <w:r w:rsidR="00335DEB">
        <w:rPr>
          <w:rFonts w:ascii="Arial" w:hAnsi="Arial" w:cs="Arial"/>
          <w:color w:val="000000" w:themeColor="text1"/>
          <w:sz w:val="22"/>
          <w:szCs w:val="22"/>
        </w:rPr>
        <w:t>ae</w:t>
      </w:r>
      <w:r w:rsidR="00EE2FE7" w:rsidRPr="00EE2FE7">
        <w:rPr>
          <w:rFonts w:ascii="Arial" w:hAnsi="Arial" w:cs="Arial"/>
          <w:color w:val="000000" w:themeColor="text1"/>
          <w:sz w:val="22"/>
          <w:szCs w:val="22"/>
        </w:rPr>
        <w:t>tsleitfaden</w:t>
      </w:r>
    </w:p>
    <w:p w14:paraId="3E78FD7D" w14:textId="77777777" w:rsidR="004F158E" w:rsidRDefault="004F158E" w:rsidP="004F158E">
      <w:pPr>
        <w:rPr>
          <w:rFonts w:ascii="Arial" w:hAnsi="Arial" w:cs="Arial"/>
          <w:sz w:val="22"/>
          <w:szCs w:val="22"/>
        </w:rPr>
      </w:pPr>
    </w:p>
    <w:p w14:paraId="22958BF1" w14:textId="036AD995" w:rsidR="004F158E" w:rsidRDefault="004F158E" w:rsidP="004F158E">
      <w:pPr>
        <w:rPr>
          <w:rFonts w:ascii="Arial" w:hAnsi="Arial" w:cs="Arial"/>
          <w:sz w:val="22"/>
          <w:szCs w:val="22"/>
        </w:rPr>
      </w:pPr>
      <w:r>
        <w:rPr>
          <w:rFonts w:ascii="Arial" w:hAnsi="Arial" w:cs="Arial"/>
          <w:noProof/>
          <w:sz w:val="22"/>
          <w:szCs w:val="22"/>
        </w:rPr>
        <w:drawing>
          <wp:inline distT="0" distB="0" distL="0" distR="0" wp14:anchorId="3529E6DF" wp14:editId="176435C9">
            <wp:extent cx="2568272" cy="3951876"/>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9">
                      <a:extLst>
                        <a:ext uri="{28A0092B-C50C-407E-A947-70E740481C1C}">
                          <a14:useLocalDpi xmlns:a14="http://schemas.microsoft.com/office/drawing/2010/main" val="0"/>
                        </a:ext>
                      </a:extLst>
                    </a:blip>
                    <a:stretch>
                      <a:fillRect/>
                    </a:stretch>
                  </pic:blipFill>
                  <pic:spPr>
                    <a:xfrm>
                      <a:off x="0" y="0"/>
                      <a:ext cx="2578469" cy="3967567"/>
                    </a:xfrm>
                    <a:prstGeom prst="rect">
                      <a:avLst/>
                    </a:prstGeom>
                  </pic:spPr>
                </pic:pic>
              </a:graphicData>
            </a:graphic>
          </wp:inline>
        </w:drawing>
      </w:r>
    </w:p>
    <w:p w14:paraId="39947634" w14:textId="77777777" w:rsidR="004F158E" w:rsidRDefault="004F158E" w:rsidP="004F158E">
      <w:pPr>
        <w:rPr>
          <w:rFonts w:ascii="Arial" w:hAnsi="Arial" w:cs="Arial"/>
          <w:sz w:val="22"/>
          <w:szCs w:val="22"/>
        </w:rPr>
      </w:pPr>
    </w:p>
    <w:p w14:paraId="5DB785B5" w14:textId="77777777" w:rsidR="004F158E" w:rsidRDefault="004F158E" w:rsidP="004F158E">
      <w:pPr>
        <w:rPr>
          <w:rFonts w:ascii="Arial" w:hAnsi="Arial" w:cs="Arial"/>
          <w:sz w:val="22"/>
          <w:szCs w:val="22"/>
        </w:rPr>
      </w:pPr>
    </w:p>
    <w:p w14:paraId="3049AAC5" w14:textId="0F8789A0" w:rsidR="004F158E" w:rsidRPr="004F158E" w:rsidRDefault="004F158E" w:rsidP="004F158E">
      <w:pPr>
        <w:rPr>
          <w:rFonts w:ascii="Arial" w:hAnsi="Arial" w:cs="Arial"/>
          <w:sz w:val="22"/>
          <w:szCs w:val="22"/>
        </w:rPr>
      </w:pPr>
      <w:r w:rsidRPr="004F158E">
        <w:rPr>
          <w:rFonts w:ascii="Arial" w:hAnsi="Arial" w:cs="Arial"/>
          <w:sz w:val="22"/>
          <w:szCs w:val="22"/>
        </w:rPr>
        <w:t xml:space="preserve">Bildtext zu Grafik: </w:t>
      </w:r>
    </w:p>
    <w:p w14:paraId="2F4D31FA" w14:textId="6A96A520" w:rsidR="004F158E" w:rsidRPr="004F158E" w:rsidRDefault="004F158E" w:rsidP="004F158E">
      <w:pPr>
        <w:rPr>
          <w:rFonts w:ascii="Arial" w:hAnsi="Arial" w:cs="Arial"/>
          <w:sz w:val="22"/>
          <w:szCs w:val="22"/>
        </w:rPr>
      </w:pPr>
      <w:r w:rsidRPr="004F158E">
        <w:rPr>
          <w:rFonts w:ascii="Arial" w:hAnsi="Arial" w:cs="Arial"/>
          <w:sz w:val="22"/>
          <w:szCs w:val="22"/>
        </w:rPr>
        <w:t xml:space="preserve">Legende: </w:t>
      </w:r>
      <w:proofErr w:type="spellStart"/>
      <w:r w:rsidRPr="004F158E">
        <w:rPr>
          <w:rFonts w:ascii="Arial" w:hAnsi="Arial" w:cs="Arial"/>
          <w:sz w:val="22"/>
          <w:szCs w:val="22"/>
        </w:rPr>
        <w:t>ör</w:t>
      </w:r>
      <w:proofErr w:type="spellEnd"/>
      <w:r w:rsidRPr="004F158E">
        <w:rPr>
          <w:rFonts w:ascii="Arial" w:hAnsi="Arial" w:cs="Arial"/>
          <w:sz w:val="22"/>
          <w:szCs w:val="22"/>
        </w:rPr>
        <w:t xml:space="preserve">=öffentlich, </w:t>
      </w:r>
      <w:proofErr w:type="spellStart"/>
      <w:r w:rsidRPr="004F158E">
        <w:rPr>
          <w:rFonts w:ascii="Arial" w:hAnsi="Arial" w:cs="Arial"/>
          <w:sz w:val="22"/>
          <w:szCs w:val="22"/>
        </w:rPr>
        <w:t>fgm</w:t>
      </w:r>
      <w:proofErr w:type="spellEnd"/>
      <w:r w:rsidRPr="004F158E">
        <w:rPr>
          <w:rFonts w:ascii="Arial" w:hAnsi="Arial" w:cs="Arial"/>
          <w:sz w:val="22"/>
          <w:szCs w:val="22"/>
        </w:rPr>
        <w:t xml:space="preserve">=freigemeinnützig, Quelle: </w:t>
      </w:r>
      <w:proofErr w:type="spellStart"/>
      <w:r w:rsidRPr="004F158E">
        <w:rPr>
          <w:rFonts w:ascii="Arial" w:hAnsi="Arial" w:cs="Arial"/>
          <w:sz w:val="22"/>
          <w:szCs w:val="22"/>
        </w:rPr>
        <w:t>Curacon</w:t>
      </w:r>
      <w:proofErr w:type="spellEnd"/>
      <w:r w:rsidRPr="004F158E">
        <w:rPr>
          <w:rFonts w:ascii="Arial" w:hAnsi="Arial" w:cs="Arial"/>
          <w:sz w:val="22"/>
          <w:szCs w:val="22"/>
        </w:rPr>
        <w:t xml:space="preserve"> Insolvenzradar (Insolvenzradar NRW, eigene Recherche, Daten auf ganz Deutschland bezogen) </w:t>
      </w:r>
    </w:p>
    <w:p w14:paraId="21F386A4" w14:textId="77777777" w:rsidR="004F158E" w:rsidRDefault="004F158E" w:rsidP="004F158E">
      <w:pPr>
        <w:rPr>
          <w:rFonts w:ascii="Arial" w:hAnsi="Arial" w:cs="Arial"/>
          <w:sz w:val="22"/>
          <w:szCs w:val="22"/>
        </w:rPr>
      </w:pPr>
    </w:p>
    <w:p w14:paraId="6B1CD3AB" w14:textId="77777777" w:rsidR="007149EC" w:rsidRDefault="007149EC" w:rsidP="004F158E">
      <w:pPr>
        <w:rPr>
          <w:rFonts w:ascii="Arial" w:hAnsi="Arial" w:cs="Arial"/>
          <w:sz w:val="22"/>
          <w:szCs w:val="22"/>
        </w:rPr>
      </w:pPr>
    </w:p>
    <w:p w14:paraId="7FC34A12" w14:textId="77777777" w:rsidR="007149EC" w:rsidRDefault="007149EC" w:rsidP="004F158E">
      <w:pPr>
        <w:rPr>
          <w:rFonts w:ascii="Arial" w:hAnsi="Arial" w:cs="Arial"/>
          <w:sz w:val="22"/>
          <w:szCs w:val="22"/>
        </w:rPr>
      </w:pPr>
    </w:p>
    <w:p w14:paraId="13AC9E1D" w14:textId="4BF13677" w:rsidR="004F158E" w:rsidRPr="004F158E" w:rsidRDefault="004F158E" w:rsidP="004F158E">
      <w:pPr>
        <w:rPr>
          <w:rFonts w:ascii="Arial" w:hAnsi="Arial" w:cs="Arial"/>
          <w:sz w:val="22"/>
          <w:szCs w:val="22"/>
        </w:rPr>
      </w:pPr>
      <w:r w:rsidRPr="004F158E">
        <w:rPr>
          <w:rFonts w:ascii="Arial" w:hAnsi="Arial" w:cs="Arial"/>
          <w:sz w:val="22"/>
          <w:szCs w:val="22"/>
        </w:rPr>
        <w:t>Pressekontakt</w:t>
      </w:r>
      <w:r>
        <w:rPr>
          <w:rFonts w:ascii="Arial" w:hAnsi="Arial" w:cs="Arial"/>
          <w:sz w:val="22"/>
          <w:szCs w:val="22"/>
        </w:rPr>
        <w:t xml:space="preserve"> KD-Bank</w:t>
      </w:r>
      <w:r w:rsidRPr="004F158E">
        <w:rPr>
          <w:rFonts w:ascii="Arial" w:hAnsi="Arial" w:cs="Arial"/>
          <w:sz w:val="22"/>
          <w:szCs w:val="22"/>
        </w:rPr>
        <w:t>:</w:t>
      </w:r>
    </w:p>
    <w:p w14:paraId="603A7335" w14:textId="77777777" w:rsidR="004F158E" w:rsidRPr="004F158E" w:rsidRDefault="004F158E" w:rsidP="004F158E">
      <w:pPr>
        <w:rPr>
          <w:rFonts w:ascii="Arial" w:hAnsi="Arial" w:cs="Arial"/>
          <w:sz w:val="22"/>
          <w:szCs w:val="22"/>
        </w:rPr>
      </w:pPr>
      <w:r w:rsidRPr="004F158E">
        <w:rPr>
          <w:rFonts w:ascii="Arial" w:hAnsi="Arial" w:cs="Arial"/>
          <w:sz w:val="22"/>
          <w:szCs w:val="22"/>
        </w:rPr>
        <w:t>Elisabeth Illius</w:t>
      </w:r>
    </w:p>
    <w:p w14:paraId="3D62ACB1" w14:textId="77777777" w:rsidR="004F158E" w:rsidRPr="004F158E" w:rsidRDefault="004F158E" w:rsidP="004F158E">
      <w:pPr>
        <w:rPr>
          <w:rFonts w:ascii="Arial" w:hAnsi="Arial" w:cs="Arial"/>
          <w:sz w:val="22"/>
          <w:szCs w:val="22"/>
        </w:rPr>
      </w:pPr>
      <w:r w:rsidRPr="004F158E">
        <w:rPr>
          <w:rFonts w:ascii="Arial" w:hAnsi="Arial" w:cs="Arial"/>
          <w:sz w:val="22"/>
          <w:szCs w:val="22"/>
        </w:rPr>
        <w:t>Pressereferentin</w:t>
      </w:r>
    </w:p>
    <w:p w14:paraId="0D87E67C" w14:textId="77777777" w:rsidR="004F158E" w:rsidRPr="004F158E" w:rsidRDefault="004F158E" w:rsidP="004F158E">
      <w:pPr>
        <w:rPr>
          <w:rFonts w:ascii="Arial" w:hAnsi="Arial" w:cs="Arial"/>
          <w:sz w:val="22"/>
          <w:szCs w:val="22"/>
        </w:rPr>
      </w:pPr>
      <w:r w:rsidRPr="004F158E">
        <w:rPr>
          <w:rFonts w:ascii="Arial" w:hAnsi="Arial" w:cs="Arial"/>
          <w:sz w:val="22"/>
          <w:szCs w:val="22"/>
        </w:rPr>
        <w:t>Telefon: 0231 58444-192</w:t>
      </w:r>
    </w:p>
    <w:p w14:paraId="31A1D0E7" w14:textId="77777777" w:rsidR="004F158E" w:rsidRPr="004F158E" w:rsidRDefault="004F158E" w:rsidP="004F158E">
      <w:pPr>
        <w:rPr>
          <w:rFonts w:ascii="Arial" w:hAnsi="Arial" w:cs="Arial"/>
          <w:sz w:val="22"/>
          <w:szCs w:val="22"/>
        </w:rPr>
      </w:pPr>
      <w:r w:rsidRPr="004F158E">
        <w:rPr>
          <w:rFonts w:ascii="Arial" w:hAnsi="Arial" w:cs="Arial"/>
          <w:sz w:val="22"/>
          <w:szCs w:val="22"/>
        </w:rPr>
        <w:t>E-Mail: Elisabeth.Illius@KD-Bank.de</w:t>
      </w:r>
    </w:p>
    <w:p w14:paraId="27D80E0E" w14:textId="77777777" w:rsidR="004F158E" w:rsidRPr="004F158E" w:rsidRDefault="004F158E" w:rsidP="004F158E">
      <w:pPr>
        <w:rPr>
          <w:rFonts w:ascii="Arial" w:hAnsi="Arial" w:cs="Arial"/>
          <w:sz w:val="22"/>
          <w:szCs w:val="22"/>
        </w:rPr>
      </w:pPr>
    </w:p>
    <w:p w14:paraId="1B99F0F4" w14:textId="528144DB" w:rsidR="004F158E" w:rsidRPr="004F158E" w:rsidRDefault="004F158E" w:rsidP="004F158E">
      <w:pPr>
        <w:rPr>
          <w:rFonts w:ascii="Arial" w:hAnsi="Arial" w:cs="Arial"/>
          <w:sz w:val="22"/>
          <w:szCs w:val="22"/>
        </w:rPr>
      </w:pPr>
      <w:r w:rsidRPr="004F158E">
        <w:rPr>
          <w:rFonts w:ascii="Arial" w:hAnsi="Arial" w:cs="Arial"/>
          <w:sz w:val="22"/>
          <w:szCs w:val="22"/>
        </w:rPr>
        <w:t>Pressekontakt</w:t>
      </w:r>
      <w:r>
        <w:rPr>
          <w:rFonts w:ascii="Arial" w:hAnsi="Arial" w:cs="Arial"/>
          <w:sz w:val="22"/>
          <w:szCs w:val="22"/>
        </w:rPr>
        <w:t xml:space="preserve"> </w:t>
      </w:r>
      <w:proofErr w:type="spellStart"/>
      <w:r>
        <w:rPr>
          <w:rFonts w:ascii="Arial" w:hAnsi="Arial" w:cs="Arial"/>
          <w:sz w:val="22"/>
          <w:szCs w:val="22"/>
        </w:rPr>
        <w:t>Curacon</w:t>
      </w:r>
      <w:proofErr w:type="spellEnd"/>
      <w:r w:rsidRPr="004F158E">
        <w:rPr>
          <w:rFonts w:ascii="Arial" w:hAnsi="Arial" w:cs="Arial"/>
          <w:sz w:val="22"/>
          <w:szCs w:val="22"/>
        </w:rPr>
        <w:t>:</w:t>
      </w:r>
    </w:p>
    <w:p w14:paraId="7BBD8F2A" w14:textId="77777777" w:rsidR="004F158E" w:rsidRPr="004F158E" w:rsidRDefault="004F158E" w:rsidP="004F158E">
      <w:pPr>
        <w:rPr>
          <w:rFonts w:ascii="Arial" w:hAnsi="Arial" w:cs="Arial"/>
          <w:sz w:val="22"/>
          <w:szCs w:val="22"/>
        </w:rPr>
      </w:pPr>
      <w:r w:rsidRPr="004F158E">
        <w:rPr>
          <w:rFonts w:ascii="Arial" w:hAnsi="Arial" w:cs="Arial"/>
          <w:sz w:val="22"/>
          <w:szCs w:val="22"/>
        </w:rPr>
        <w:t>Jule Kettler</w:t>
      </w:r>
    </w:p>
    <w:p w14:paraId="322A25E3" w14:textId="77777777" w:rsidR="004F158E" w:rsidRPr="004F158E" w:rsidRDefault="004F158E" w:rsidP="004F158E">
      <w:pPr>
        <w:rPr>
          <w:rFonts w:ascii="Arial" w:hAnsi="Arial" w:cs="Arial"/>
          <w:sz w:val="22"/>
          <w:szCs w:val="22"/>
        </w:rPr>
      </w:pPr>
      <w:r w:rsidRPr="004F158E">
        <w:rPr>
          <w:rFonts w:ascii="Arial" w:hAnsi="Arial" w:cs="Arial"/>
          <w:sz w:val="22"/>
          <w:szCs w:val="22"/>
        </w:rPr>
        <w:t xml:space="preserve">Marketingreferentin, </w:t>
      </w:r>
    </w:p>
    <w:p w14:paraId="15FC3109" w14:textId="77777777" w:rsidR="004F158E" w:rsidRPr="004F158E" w:rsidRDefault="004F158E" w:rsidP="004F158E">
      <w:pPr>
        <w:rPr>
          <w:rFonts w:ascii="Arial" w:hAnsi="Arial" w:cs="Arial"/>
          <w:sz w:val="22"/>
          <w:szCs w:val="22"/>
        </w:rPr>
      </w:pPr>
      <w:r w:rsidRPr="004F158E">
        <w:rPr>
          <w:rFonts w:ascii="Arial" w:hAnsi="Arial" w:cs="Arial"/>
          <w:sz w:val="22"/>
          <w:szCs w:val="22"/>
        </w:rPr>
        <w:t>Telefon: 0251/92208-431</w:t>
      </w:r>
    </w:p>
    <w:p w14:paraId="57F6BA7F" w14:textId="06F1E942" w:rsidR="004F158E" w:rsidRDefault="004F158E" w:rsidP="004F158E">
      <w:pPr>
        <w:rPr>
          <w:rFonts w:ascii="Arial" w:hAnsi="Arial" w:cs="Arial"/>
          <w:sz w:val="22"/>
          <w:szCs w:val="22"/>
        </w:rPr>
      </w:pPr>
      <w:r w:rsidRPr="004F158E">
        <w:rPr>
          <w:rFonts w:ascii="Arial" w:hAnsi="Arial" w:cs="Arial"/>
          <w:sz w:val="22"/>
          <w:szCs w:val="22"/>
        </w:rPr>
        <w:t>presse@curacon.de</w:t>
      </w:r>
    </w:p>
    <w:p w14:paraId="4B78D5C0" w14:textId="77777777" w:rsidR="004F158E" w:rsidRDefault="004F158E" w:rsidP="004F158E">
      <w:pPr>
        <w:rPr>
          <w:rFonts w:ascii="Arial" w:hAnsi="Arial" w:cs="Arial"/>
          <w:sz w:val="22"/>
          <w:szCs w:val="22"/>
        </w:rPr>
      </w:pPr>
    </w:p>
    <w:p w14:paraId="0ACB3DB6" w14:textId="77777777" w:rsidR="004F158E" w:rsidRDefault="004F158E" w:rsidP="004F158E">
      <w:pPr>
        <w:rPr>
          <w:rFonts w:ascii="Arial" w:hAnsi="Arial" w:cs="Arial"/>
          <w:sz w:val="22"/>
          <w:szCs w:val="22"/>
        </w:rPr>
      </w:pPr>
    </w:p>
    <w:p w14:paraId="18616676" w14:textId="57BBBAB6" w:rsidR="004F158E" w:rsidRPr="004F158E" w:rsidRDefault="004F158E" w:rsidP="004F158E">
      <w:pPr>
        <w:rPr>
          <w:rFonts w:ascii="Arial" w:hAnsi="Arial" w:cs="Arial"/>
          <w:b/>
          <w:bCs/>
          <w:sz w:val="22"/>
          <w:szCs w:val="22"/>
        </w:rPr>
      </w:pPr>
      <w:r w:rsidRPr="004F158E">
        <w:rPr>
          <w:rFonts w:ascii="Arial" w:hAnsi="Arial" w:cs="Arial"/>
          <w:b/>
          <w:bCs/>
          <w:sz w:val="22"/>
          <w:szCs w:val="22"/>
        </w:rPr>
        <w:t>Über die Bank für Kirche und Diakonie eG – KD-Bank:</w:t>
      </w:r>
    </w:p>
    <w:p w14:paraId="6BA47AD5" w14:textId="77777777" w:rsidR="004F158E" w:rsidRPr="004F158E" w:rsidRDefault="004F158E" w:rsidP="004F158E">
      <w:pPr>
        <w:rPr>
          <w:rFonts w:ascii="Arial" w:hAnsi="Arial" w:cs="Arial"/>
          <w:sz w:val="18"/>
          <w:szCs w:val="18"/>
        </w:rPr>
      </w:pPr>
      <w:r w:rsidRPr="004F158E">
        <w:rPr>
          <w:rFonts w:ascii="Arial" w:hAnsi="Arial" w:cs="Arial"/>
          <w:sz w:val="18"/>
          <w:szCs w:val="18"/>
        </w:rPr>
        <w:t xml:space="preserve">Die Bank für Kirche und Diakonie (KD-Bank) zählt zu den 30 größten Genossenschaftsbanken Deutschlands (insgesamt: 695, Stand: Ende 2023, laut BVR). 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   </w:t>
      </w:r>
    </w:p>
    <w:p w14:paraId="3CBE0D90" w14:textId="77777777" w:rsidR="004F158E" w:rsidRPr="004F158E" w:rsidRDefault="004F158E" w:rsidP="004F158E">
      <w:pPr>
        <w:rPr>
          <w:rFonts w:ascii="Arial" w:hAnsi="Arial" w:cs="Arial"/>
          <w:sz w:val="22"/>
          <w:szCs w:val="22"/>
        </w:rPr>
      </w:pPr>
    </w:p>
    <w:p w14:paraId="621B27F9" w14:textId="77777777" w:rsidR="004F158E" w:rsidRPr="004F158E" w:rsidRDefault="004F158E" w:rsidP="004F158E">
      <w:pPr>
        <w:rPr>
          <w:rFonts w:ascii="Arial" w:hAnsi="Arial" w:cs="Arial"/>
          <w:b/>
          <w:bCs/>
          <w:sz w:val="22"/>
          <w:szCs w:val="22"/>
        </w:rPr>
      </w:pPr>
      <w:r w:rsidRPr="004F158E">
        <w:rPr>
          <w:rFonts w:ascii="Arial" w:hAnsi="Arial" w:cs="Arial"/>
          <w:b/>
          <w:bCs/>
          <w:sz w:val="22"/>
          <w:szCs w:val="22"/>
        </w:rPr>
        <w:t xml:space="preserve">Über </w:t>
      </w:r>
      <w:proofErr w:type="spellStart"/>
      <w:r w:rsidRPr="004F158E">
        <w:rPr>
          <w:rFonts w:ascii="Arial" w:hAnsi="Arial" w:cs="Arial"/>
          <w:b/>
          <w:bCs/>
          <w:sz w:val="22"/>
          <w:szCs w:val="22"/>
        </w:rPr>
        <w:t>Curacon</w:t>
      </w:r>
      <w:proofErr w:type="spellEnd"/>
      <w:r w:rsidRPr="004F158E">
        <w:rPr>
          <w:rFonts w:ascii="Arial" w:hAnsi="Arial" w:cs="Arial"/>
          <w:b/>
          <w:bCs/>
          <w:sz w:val="22"/>
          <w:szCs w:val="22"/>
        </w:rPr>
        <w:t>:</w:t>
      </w:r>
    </w:p>
    <w:p w14:paraId="1F2DA24B" w14:textId="77777777" w:rsidR="004F158E" w:rsidRPr="004F158E" w:rsidRDefault="004F158E" w:rsidP="004F158E">
      <w:pPr>
        <w:rPr>
          <w:rFonts w:ascii="Arial" w:hAnsi="Arial" w:cs="Arial"/>
          <w:sz w:val="18"/>
          <w:szCs w:val="18"/>
        </w:rPr>
      </w:pPr>
      <w:proofErr w:type="spellStart"/>
      <w:r w:rsidRPr="004F158E">
        <w:rPr>
          <w:rFonts w:ascii="Arial" w:hAnsi="Arial" w:cs="Arial"/>
          <w:sz w:val="18"/>
          <w:szCs w:val="18"/>
        </w:rPr>
        <w:t>Curacon</w:t>
      </w:r>
      <w:proofErr w:type="spellEnd"/>
      <w:r w:rsidRPr="004F158E">
        <w:rPr>
          <w:rFonts w:ascii="Arial" w:hAnsi="Arial" w:cs="Arial"/>
          <w:sz w:val="18"/>
          <w:szCs w:val="18"/>
        </w:rPr>
        <w:t xml:space="preserve"> ist eine bundesweit tätige Wirtschaftsprüfungsgesellschaft mit Spezialisierung auf die Prüfung und Beratung von Einrichtungen in der Sozial- und Gesundheitswirtschaft. Mehr als 500 Mitarbeiterinnen und Mitarbeiter an 14 Standorten betreuen über 2.500 Mandanten. Das Leistungsportfolio der </w:t>
      </w:r>
      <w:proofErr w:type="spellStart"/>
      <w:r w:rsidRPr="004F158E">
        <w:rPr>
          <w:rFonts w:ascii="Arial" w:hAnsi="Arial" w:cs="Arial"/>
          <w:sz w:val="18"/>
          <w:szCs w:val="18"/>
        </w:rPr>
        <w:t>Curacon</w:t>
      </w:r>
      <w:proofErr w:type="spellEnd"/>
      <w:r w:rsidRPr="004F158E">
        <w:rPr>
          <w:rFonts w:ascii="Arial" w:hAnsi="Arial" w:cs="Arial"/>
          <w:sz w:val="18"/>
          <w:szCs w:val="18"/>
        </w:rPr>
        <w:t xml:space="preserve"> Unternehmensgruppe umfasst die Bereiche Wirtschaftsprüfung, Unternehmensberatung sowie Steuer- und Rechtsberatung. Seit über 85 Jahren führt </w:t>
      </w:r>
      <w:proofErr w:type="spellStart"/>
      <w:r w:rsidRPr="004F158E">
        <w:rPr>
          <w:rFonts w:ascii="Arial" w:hAnsi="Arial" w:cs="Arial"/>
          <w:sz w:val="18"/>
          <w:szCs w:val="18"/>
        </w:rPr>
        <w:t>Curacon</w:t>
      </w:r>
      <w:proofErr w:type="spellEnd"/>
      <w:r w:rsidRPr="004F158E">
        <w:rPr>
          <w:rFonts w:ascii="Arial" w:hAnsi="Arial" w:cs="Arial"/>
          <w:sz w:val="18"/>
          <w:szCs w:val="18"/>
        </w:rPr>
        <w:t xml:space="preserve"> erfolgreich Prüfungs- und Beratungsaufgaben durch und gehört heute zu den 20 größten und den Top 10 leistungsstärksten Wirtschaftsprüfungsgesellschaften in Deutschland.</w:t>
      </w:r>
    </w:p>
    <w:p w14:paraId="34B7E998" w14:textId="77777777" w:rsidR="004F158E" w:rsidRDefault="004F158E" w:rsidP="004F158E">
      <w:pPr>
        <w:rPr>
          <w:rFonts w:ascii="Arial" w:hAnsi="Arial" w:cs="Arial"/>
          <w:sz w:val="18"/>
          <w:szCs w:val="18"/>
        </w:rPr>
      </w:pPr>
    </w:p>
    <w:p w14:paraId="3351EE8A" w14:textId="77777777" w:rsidR="004F158E" w:rsidRDefault="004F158E" w:rsidP="004F158E">
      <w:pPr>
        <w:rPr>
          <w:rFonts w:ascii="Arial" w:hAnsi="Arial" w:cs="Arial"/>
          <w:sz w:val="18"/>
          <w:szCs w:val="18"/>
        </w:rPr>
      </w:pPr>
    </w:p>
    <w:sectPr w:rsidR="004F158E">
      <w:headerReference w:type="default" r:id="rId10"/>
      <w:footerReference w:type="default" r:id="rId11"/>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E326" w14:textId="77777777" w:rsidR="00AF1008" w:rsidRDefault="00AF1008">
      <w:r>
        <w:separator/>
      </w:r>
    </w:p>
  </w:endnote>
  <w:endnote w:type="continuationSeparator" w:id="0">
    <w:p w14:paraId="6405785D" w14:textId="77777777" w:rsidR="00AF1008" w:rsidRDefault="00AF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Content>
      <w:p w14:paraId="4E19C766" w14:textId="77777777" w:rsidR="001A3D34" w:rsidRDefault="00000000">
        <w:pPr>
          <w:pStyle w:val="Fuzeile"/>
          <w:jc w:val="center"/>
        </w:pPr>
        <w:r>
          <w:fldChar w:fldCharType="begin"/>
        </w:r>
        <w:r>
          <w:instrText>PAGE   \* MERGEFORMAT</w:instrText>
        </w:r>
        <w:r>
          <w:fldChar w:fldCharType="separate"/>
        </w:r>
        <w:r>
          <w:t>2</w:t>
        </w:r>
        <w:r>
          <w:fldChar w:fldCharType="end"/>
        </w:r>
      </w:p>
    </w:sdtContent>
  </w:sdt>
  <w:p w14:paraId="4E0364E7" w14:textId="77777777" w:rsidR="001A3D34" w:rsidRDefault="001A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EE78" w14:textId="77777777" w:rsidR="00AF1008" w:rsidRDefault="00AF1008">
      <w:r>
        <w:separator/>
      </w:r>
    </w:p>
  </w:footnote>
  <w:footnote w:type="continuationSeparator" w:id="0">
    <w:p w14:paraId="6CDBE4C5" w14:textId="77777777" w:rsidR="00AF1008" w:rsidRDefault="00AF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DE7F" w14:textId="77777777" w:rsidR="001A3D34" w:rsidRDefault="00000000">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1BE48881" w14:textId="77777777" w:rsidR="001A3D34" w:rsidRDefault="00000000">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5"/>
  </w:num>
  <w:num w:numId="4" w16cid:durableId="1360858060">
    <w:abstractNumId w:val="4"/>
  </w:num>
  <w:num w:numId="5" w16cid:durableId="1427993770">
    <w:abstractNumId w:val="3"/>
  </w:num>
  <w:num w:numId="6" w16cid:durableId="184208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1A3D34"/>
    <w:rsid w:val="002E1EE8"/>
    <w:rsid w:val="00335DEB"/>
    <w:rsid w:val="004F158E"/>
    <w:rsid w:val="006F73BC"/>
    <w:rsid w:val="007149EC"/>
    <w:rsid w:val="007931C7"/>
    <w:rsid w:val="00AF1008"/>
    <w:rsid w:val="00B179DE"/>
    <w:rsid w:val="00B24507"/>
    <w:rsid w:val="00EE2FE7"/>
    <w:rsid w:val="00FE0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6153F"/>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semiHidden/>
    <w:unhideWhenUsed/>
  </w:style>
  <w:style w:type="character" w:customStyle="1" w:styleId="KommentartextZchn1">
    <w:name w:val="Kommentartext Zchn1"/>
    <w:basedOn w:val="Absatz-Standardschriftart"/>
    <w:link w:val="Kommentartext"/>
    <w:uiPriority w:val="99"/>
    <w:semiHidden/>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3013</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Ricarda Schneider</cp:lastModifiedBy>
  <cp:revision>7</cp:revision>
  <cp:lastPrinted>2024-05-08T09:44:00Z</cp:lastPrinted>
  <dcterms:created xsi:type="dcterms:W3CDTF">2024-05-06T09:08:00Z</dcterms:created>
  <dcterms:modified xsi:type="dcterms:W3CDTF">2024-05-08T10:06:00Z</dcterms:modified>
</cp:coreProperties>
</file>