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62D7D" w14:textId="77777777" w:rsidR="00373385" w:rsidRDefault="003A3FD6"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14:anchorId="6FF040D1" wp14:editId="6EF3737B">
            <wp:simplePos x="0" y="0"/>
            <wp:positionH relativeFrom="column">
              <wp:posOffset>3557270</wp:posOffset>
            </wp:positionH>
            <wp:positionV relativeFrom="paragraph">
              <wp:posOffset>-459105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BEFBF" w14:textId="77777777" w:rsidR="00EA074E" w:rsidRPr="00C46550" w:rsidRDefault="00703A51"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sidRPr="00C46550">
        <w:rPr>
          <w:rFonts w:ascii="Arial" w:eastAsia="Arial" w:hAnsi="Arial" w:cs="Arial"/>
          <w:sz w:val="22"/>
          <w:szCs w:val="22"/>
        </w:rPr>
        <w:t>Pr</w:t>
      </w:r>
      <w:r w:rsidR="009B7DDB" w:rsidRPr="00C46550">
        <w:rPr>
          <w:rFonts w:ascii="Arial" w:eastAsia="Arial" w:hAnsi="Arial" w:cs="Arial"/>
          <w:sz w:val="22"/>
          <w:szCs w:val="22"/>
        </w:rPr>
        <w:t>essemitteilung</w:t>
      </w:r>
      <w:r w:rsidR="00607276" w:rsidRPr="00C46550">
        <w:rPr>
          <w:rFonts w:ascii="Arial" w:eastAsia="Arial" w:hAnsi="Arial" w:cs="Arial"/>
          <w:sz w:val="22"/>
          <w:szCs w:val="22"/>
        </w:rPr>
        <w:t xml:space="preserve"> / </w:t>
      </w:r>
      <w:r w:rsidR="00D57C23" w:rsidRPr="00C46550">
        <w:rPr>
          <w:rFonts w:ascii="Arial" w:eastAsia="Arial" w:hAnsi="Arial" w:cs="Arial"/>
          <w:sz w:val="22"/>
          <w:szCs w:val="22"/>
        </w:rPr>
        <w:t>9</w:t>
      </w:r>
      <w:r w:rsidR="006756A3" w:rsidRPr="00C46550">
        <w:rPr>
          <w:rFonts w:ascii="Arial" w:eastAsia="Arial" w:hAnsi="Arial" w:cs="Arial"/>
          <w:sz w:val="22"/>
          <w:szCs w:val="22"/>
        </w:rPr>
        <w:t>. Juni</w:t>
      </w:r>
      <w:r w:rsidR="005F2089" w:rsidRPr="00C46550">
        <w:rPr>
          <w:rFonts w:ascii="Arial" w:eastAsia="Arial" w:hAnsi="Arial" w:cs="Arial"/>
          <w:sz w:val="22"/>
          <w:szCs w:val="22"/>
        </w:rPr>
        <w:t xml:space="preserve"> </w:t>
      </w:r>
      <w:r w:rsidR="00165986" w:rsidRPr="00C46550">
        <w:rPr>
          <w:rFonts w:ascii="Arial" w:eastAsia="Arial" w:hAnsi="Arial" w:cs="Arial"/>
          <w:sz w:val="22"/>
          <w:szCs w:val="22"/>
        </w:rPr>
        <w:t>2</w:t>
      </w:r>
      <w:r w:rsidR="005F2089" w:rsidRPr="00C46550">
        <w:rPr>
          <w:rFonts w:ascii="Arial" w:eastAsia="Arial" w:hAnsi="Arial" w:cs="Arial"/>
          <w:sz w:val="22"/>
          <w:szCs w:val="22"/>
        </w:rPr>
        <w:t>020</w:t>
      </w:r>
    </w:p>
    <w:p w14:paraId="34895C56"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sidRPr="0053798F">
        <w:rPr>
          <w:rFonts w:ascii="Arial" w:eastAsia="Arial" w:hAnsi="Arial" w:cs="Arial"/>
          <w:color w:val="auto"/>
          <w:sz w:val="22"/>
          <w:szCs w:val="22"/>
          <w:u w:val="single"/>
          <w:bdr w:val="none" w:sz="0" w:space="0" w:color="auto"/>
          <w:lang w:eastAsia="de-DE"/>
        </w:rPr>
        <w:t>Generalversammlung auf Oktober 2020 verschoben</w:t>
      </w:r>
    </w:p>
    <w:p w14:paraId="14A82317"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rPr>
          <w:rFonts w:ascii="Arial" w:hAnsi="Arial" w:cs="Arial"/>
          <w:color w:val="auto"/>
          <w:sz w:val="24"/>
          <w:szCs w:val="24"/>
          <w:bdr w:val="none" w:sz="0" w:space="0" w:color="auto"/>
          <w:lang w:eastAsia="de-DE"/>
        </w:rPr>
      </w:pPr>
      <w:r w:rsidRPr="0053798F">
        <w:rPr>
          <w:rFonts w:ascii="Arial" w:hAnsi="Arial" w:cs="Arial"/>
          <w:b/>
          <w:bCs/>
          <w:color w:val="auto"/>
          <w:sz w:val="24"/>
          <w:szCs w:val="24"/>
          <w:bdr w:val="none" w:sz="0" w:space="0" w:color="auto"/>
          <w:lang w:eastAsia="de-DE"/>
        </w:rPr>
        <w:t>KD-Bank blickt auf ein gutes Jahr 2019 zurück</w:t>
      </w:r>
    </w:p>
    <w:p w14:paraId="1156E6A6"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sidRPr="0053798F">
        <w:rPr>
          <w:rFonts w:ascii="Arial" w:eastAsia="Arial" w:hAnsi="Arial" w:cs="Arial"/>
          <w:b/>
          <w:bCs/>
          <w:color w:val="auto"/>
          <w:sz w:val="22"/>
          <w:szCs w:val="22"/>
          <w:bdr w:val="none" w:sz="0" w:space="0" w:color="auto"/>
          <w:lang w:eastAsia="de-DE"/>
        </w:rPr>
        <w:t>Kreditbestand wächst um über 10 Prozent | Corona-Pandemie: Liquiditätsversorgung in Sozialwirtschaft derzeit gut, langfristige Auswirkungen ungewiss | Generalversammlung erst am 27. Oktober 2020</w:t>
      </w:r>
    </w:p>
    <w:p w14:paraId="4DDB381C" w14:textId="77777777" w:rsidR="0053798F" w:rsidRPr="0053798F" w:rsidRDefault="0053798F" w:rsidP="004405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rPr>
          <w:rFonts w:ascii="Arial" w:hAnsi="Arial" w:cs="Arial"/>
          <w:color w:val="auto"/>
          <w:sz w:val="22"/>
          <w:szCs w:val="22"/>
          <w:bdr w:val="none" w:sz="0" w:space="0" w:color="auto"/>
          <w:lang w:eastAsia="de-DE"/>
        </w:rPr>
      </w:pPr>
      <w:r w:rsidRPr="0053798F">
        <w:rPr>
          <w:rFonts w:ascii="Arial" w:hAnsi="Arial" w:cs="Arial"/>
          <w:bCs/>
          <w:color w:val="auto"/>
          <w:sz w:val="22"/>
          <w:szCs w:val="22"/>
          <w:bdr w:val="none" w:sz="0" w:space="0" w:color="auto"/>
          <w:lang w:eastAsia="de-DE"/>
        </w:rPr>
        <w:t>Dortmund.</w:t>
      </w:r>
      <w:r w:rsidRPr="0053798F">
        <w:rPr>
          <w:rFonts w:ascii="Arial" w:hAnsi="Arial" w:cs="Arial"/>
          <w:b/>
          <w:bCs/>
          <w:color w:val="auto"/>
          <w:sz w:val="22"/>
          <w:szCs w:val="22"/>
          <w:bdr w:val="none" w:sz="0" w:space="0" w:color="auto"/>
          <w:lang w:eastAsia="de-DE"/>
        </w:rPr>
        <w:t xml:space="preserve"> </w:t>
      </w:r>
      <w:r w:rsidRPr="0053798F">
        <w:rPr>
          <w:rFonts w:ascii="Arial" w:hAnsi="Arial" w:cs="Arial"/>
          <w:color w:val="auto"/>
          <w:sz w:val="22"/>
          <w:szCs w:val="22"/>
          <w:bdr w:val="none" w:sz="0" w:space="0" w:color="auto"/>
          <w:lang w:eastAsia="de-DE"/>
        </w:rPr>
        <w:t xml:space="preserve">Die Bank für Kirche und Diakonie (KD-Bank) legt in ihrem Jahresbericht für 2019 erneut gute Zahlen vor: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2259"/>
        <w:gridCol w:w="3288"/>
      </w:tblGrid>
      <w:tr w:rsidR="0053798F" w:rsidRPr="0053798F" w14:paraId="6F0FEECF" w14:textId="77777777" w:rsidTr="0053798F">
        <w:trPr>
          <w:tblCellSpacing w:w="0" w:type="dxa"/>
        </w:trPr>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0460C9"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Bilanzsumme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1FE53"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5.810,7 Mio. Euro</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868102"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+ 3,0 %</w:t>
            </w:r>
          </w:p>
        </w:tc>
      </w:tr>
      <w:tr w:rsidR="0053798F" w:rsidRPr="0053798F" w14:paraId="52B3EFC1" w14:textId="77777777" w:rsidTr="0053798F">
        <w:trPr>
          <w:tblCellSpacing w:w="0" w:type="dxa"/>
        </w:trPr>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9672C"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Kundeneinlagen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07D316"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4.784,0 Mio. Euro</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39AD23"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  0,3 %</w:t>
            </w:r>
          </w:p>
        </w:tc>
      </w:tr>
      <w:tr w:rsidR="0053798F" w:rsidRPr="0053798F" w14:paraId="351874C6" w14:textId="77777777" w:rsidTr="0053798F">
        <w:trPr>
          <w:tblCellSpacing w:w="0" w:type="dxa"/>
        </w:trPr>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01A95C"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Kundenwertpapiere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B1DFD"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3.649,2 Mio. Euro</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A5E81"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+ 8,3 %</w:t>
            </w:r>
          </w:p>
        </w:tc>
      </w:tr>
      <w:tr w:rsidR="0053798F" w:rsidRPr="0053798F" w14:paraId="2BFA43C9" w14:textId="77777777" w:rsidTr="0053798F">
        <w:trPr>
          <w:tblCellSpacing w:w="0" w:type="dxa"/>
        </w:trPr>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4497CA"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Kreditgeschäft</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FDB48"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1.958,6 Mio. Euro</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0C03CB"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+ 10,3 %</w:t>
            </w:r>
          </w:p>
        </w:tc>
      </w:tr>
      <w:tr w:rsidR="0053798F" w:rsidRPr="0053798F" w14:paraId="1EC3C806" w14:textId="77777777" w:rsidTr="0053798F">
        <w:trPr>
          <w:tblCellSpacing w:w="0" w:type="dxa"/>
        </w:trPr>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0742F9"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Bilanzielle Eigenmittel</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A112D7"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 xml:space="preserve">   492,9 Mio. Euro</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C876A" w14:textId="77777777" w:rsidR="0053798F" w:rsidRP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+ 8,8 %</w:t>
            </w:r>
          </w:p>
        </w:tc>
      </w:tr>
    </w:tbl>
    <w:p w14:paraId="57DD51D7" w14:textId="77777777" w:rsidR="0053798F" w:rsidRPr="0053798F" w:rsidRDefault="0053798F" w:rsidP="004405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„In</w:t>
      </w:r>
      <w:r w:rsidR="008E756A">
        <w:rPr>
          <w:rFonts w:ascii="Arial" w:hAnsi="Arial" w:cs="Arial"/>
          <w:color w:val="auto"/>
          <w:sz w:val="22"/>
          <w:szCs w:val="22"/>
          <w:bdr w:val="none" w:sz="0" w:space="0" w:color="auto"/>
          <w:lang w:eastAsia="de-DE"/>
        </w:rPr>
        <w:t xml:space="preserve"> </w:t>
      </w:r>
      <w:r w:rsidRPr="0053798F">
        <w:rPr>
          <w:rFonts w:ascii="Arial" w:hAnsi="Arial" w:cs="Arial"/>
          <w:color w:val="auto"/>
          <w:sz w:val="22"/>
          <w:szCs w:val="22"/>
          <w:bdr w:val="none" w:sz="0" w:space="0" w:color="auto"/>
          <w:lang w:eastAsia="de-DE"/>
        </w:rPr>
        <w:t>allen wesentlichen Kennzahlen konnten wir uns gut entwickeln und die Erwartungen zum Teil klar übertreffen“, erläutert Ekkehard Thiesler, Vorstandsvorsitzender der Bank für Kirche und Diakonie. 348 Millionen Euro Kredite wurden neu zugesagt. Über 35 Prozent (123,1 Millionen Euro) der neuen Kredite gingen an Einrichtungen für ältere Menschen</w:t>
      </w:r>
      <w:r w:rsidR="0044052C">
        <w:rPr>
          <w:rFonts w:ascii="Arial" w:hAnsi="Arial" w:cs="Arial"/>
          <w:color w:val="auto"/>
          <w:sz w:val="22"/>
          <w:szCs w:val="22"/>
          <w:bdr w:val="none" w:sz="0" w:space="0" w:color="auto"/>
          <w:lang w:eastAsia="de-DE"/>
        </w:rPr>
        <w:t xml:space="preserve">. </w:t>
      </w:r>
      <w:r w:rsidRPr="0053798F">
        <w:rPr>
          <w:rFonts w:ascii="Arial" w:hAnsi="Arial" w:cs="Arial"/>
          <w:color w:val="auto"/>
          <w:sz w:val="22"/>
          <w:szCs w:val="22"/>
          <w:bdr w:val="none" w:sz="0" w:space="0" w:color="auto"/>
          <w:lang w:eastAsia="de-DE"/>
        </w:rPr>
        <w:t xml:space="preserve">16,5 Prozent (57,5 Millionen Euro) finanzieren Investitionen sozialer Einrichtungen von der Jugendhilfe bis zur Behindertenhilfe. Die restlichen Kreditmittel verteilen sich auf die Bereiche bezahlbarer Wohnraum, Gesundheitswirtschaft, lebendiges Gemeindeleben und Bildung. </w:t>
      </w:r>
    </w:p>
    <w:p w14:paraId="60997FC4" w14:textId="77777777" w:rsidR="0053798F" w:rsidRPr="0053798F" w:rsidRDefault="0053798F" w:rsidP="004405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rPr>
          <w:rFonts w:ascii="Arial" w:hAnsi="Arial" w:cs="Arial"/>
          <w:color w:val="auto"/>
          <w:sz w:val="22"/>
          <w:szCs w:val="22"/>
          <w:bdr w:val="none" w:sz="0" w:space="0" w:color="auto"/>
          <w:lang w:eastAsia="de-DE"/>
        </w:rPr>
      </w:pPr>
      <w:r w:rsidRPr="0053798F">
        <w:rPr>
          <w:rFonts w:ascii="Arial" w:hAnsi="Arial" w:cs="Arial"/>
          <w:color w:val="auto"/>
          <w:sz w:val="22"/>
          <w:szCs w:val="22"/>
          <w:bdr w:val="none" w:sz="0" w:space="0" w:color="auto"/>
          <w:lang w:eastAsia="de-DE"/>
        </w:rPr>
        <w:t xml:space="preserve">Diese positiven Nachrichten sind in den vergangenen Wochen und Monaten in den Hintergrund getreten und werden von den rasanten Entwicklungen der Corona-Pandemie überschattet. „Die derzeitige Krise </w:t>
      </w:r>
      <w:r w:rsidR="00C46550">
        <w:rPr>
          <w:rFonts w:ascii="Arial" w:hAnsi="Arial" w:cs="Arial"/>
          <w:color w:val="auto"/>
          <w:sz w:val="22"/>
          <w:szCs w:val="22"/>
          <w:bdr w:val="none" w:sz="0" w:space="0" w:color="auto"/>
          <w:lang w:eastAsia="de-DE"/>
        </w:rPr>
        <w:t>zeigt die</w:t>
      </w:r>
      <w:r w:rsidRPr="0053798F">
        <w:rPr>
          <w:rFonts w:ascii="Arial" w:hAnsi="Arial" w:cs="Arial"/>
          <w:color w:val="auto"/>
          <w:sz w:val="22"/>
          <w:szCs w:val="22"/>
          <w:bdr w:val="none" w:sz="0" w:space="0" w:color="auto"/>
          <w:lang w:eastAsia="de-DE"/>
        </w:rPr>
        <w:t xml:space="preserve"> zentrale Bedeutung der Sozial- und Gesundheitswirtschaft für uns alle</w:t>
      </w:r>
      <w:r w:rsidR="00C46550">
        <w:rPr>
          <w:rFonts w:ascii="Arial" w:hAnsi="Arial" w:cs="Arial"/>
          <w:color w:val="auto"/>
          <w:sz w:val="22"/>
          <w:szCs w:val="22"/>
          <w:bdr w:val="none" w:sz="0" w:space="0" w:color="auto"/>
          <w:lang w:eastAsia="de-DE"/>
        </w:rPr>
        <w:t xml:space="preserve"> auf</w:t>
      </w:r>
      <w:r w:rsidRPr="0053798F">
        <w:rPr>
          <w:rFonts w:ascii="Arial" w:hAnsi="Arial" w:cs="Arial"/>
          <w:color w:val="auto"/>
          <w:sz w:val="22"/>
          <w:szCs w:val="22"/>
          <w:bdr w:val="none" w:sz="0" w:space="0" w:color="auto"/>
          <w:lang w:eastAsia="de-DE"/>
        </w:rPr>
        <w:t>. Wir als Bank für Kirche und Diakonie haben in dieser Krise unsere Aufgabe als Finanzpartner der Branche sehr bewusst wahrgenommen“, erläutert Thiesler</w:t>
      </w:r>
      <w:r w:rsidR="00397AC2">
        <w:rPr>
          <w:rFonts w:ascii="Arial" w:hAnsi="Arial" w:cs="Arial"/>
          <w:color w:val="auto"/>
          <w:sz w:val="22"/>
          <w:szCs w:val="22"/>
          <w:bdr w:val="none" w:sz="0" w:space="0" w:color="auto"/>
          <w:lang w:eastAsia="de-DE"/>
        </w:rPr>
        <w:t xml:space="preserve">, </w:t>
      </w:r>
      <w:r w:rsidRPr="0053798F">
        <w:rPr>
          <w:rFonts w:ascii="Arial" w:hAnsi="Arial" w:cs="Arial"/>
          <w:color w:val="auto"/>
          <w:sz w:val="22"/>
          <w:szCs w:val="22"/>
          <w:bdr w:val="none" w:sz="0" w:space="0" w:color="auto"/>
          <w:lang w:eastAsia="de-DE"/>
        </w:rPr>
        <w:t>„</w:t>
      </w:r>
      <w:r w:rsidR="00397AC2">
        <w:rPr>
          <w:rFonts w:ascii="Arial" w:hAnsi="Arial" w:cs="Arial"/>
          <w:color w:val="auto"/>
          <w:sz w:val="22"/>
          <w:szCs w:val="22"/>
          <w:bdr w:val="none" w:sz="0" w:space="0" w:color="auto"/>
          <w:lang w:eastAsia="de-DE"/>
        </w:rPr>
        <w:t>d</w:t>
      </w:r>
      <w:r w:rsidRPr="0053798F">
        <w:rPr>
          <w:rFonts w:ascii="Arial" w:hAnsi="Arial" w:cs="Arial"/>
          <w:color w:val="auto"/>
          <w:sz w:val="22"/>
          <w:szCs w:val="22"/>
          <w:bdr w:val="none" w:sz="0" w:space="0" w:color="auto"/>
          <w:lang w:eastAsia="de-DE"/>
        </w:rPr>
        <w:t xml:space="preserve">ie Liquiditätsversorgung der Krankenhäuser und der Diakonie ist </w:t>
      </w:r>
      <w:r w:rsidR="00C46550">
        <w:rPr>
          <w:rFonts w:ascii="Arial" w:hAnsi="Arial" w:cs="Arial"/>
          <w:color w:val="auto"/>
          <w:sz w:val="22"/>
          <w:szCs w:val="22"/>
          <w:bdr w:val="none" w:sz="0" w:space="0" w:color="auto"/>
          <w:lang w:eastAsia="de-DE"/>
        </w:rPr>
        <w:t>derzeit</w:t>
      </w:r>
      <w:r w:rsidRPr="0053798F">
        <w:rPr>
          <w:rFonts w:ascii="Arial" w:hAnsi="Arial" w:cs="Arial"/>
          <w:color w:val="auto"/>
          <w:sz w:val="22"/>
          <w:szCs w:val="22"/>
          <w:bdr w:val="none" w:sz="0" w:space="0" w:color="auto"/>
          <w:lang w:eastAsia="de-DE"/>
        </w:rPr>
        <w:t xml:space="preserve"> grundsätzlich gut. </w:t>
      </w:r>
      <w:r w:rsidR="00FC73A0">
        <w:rPr>
          <w:rFonts w:ascii="Arial" w:hAnsi="Arial" w:cs="Arial"/>
          <w:color w:val="auto"/>
          <w:sz w:val="22"/>
          <w:szCs w:val="22"/>
          <w:bdr w:val="none" w:sz="0" w:space="0" w:color="auto"/>
          <w:lang w:eastAsia="de-DE"/>
        </w:rPr>
        <w:t>Falls es zu Engpässen kommt, haben</w:t>
      </w:r>
      <w:r w:rsidR="00397AC2">
        <w:rPr>
          <w:rFonts w:ascii="Arial" w:hAnsi="Arial" w:cs="Arial"/>
          <w:color w:val="auto"/>
          <w:sz w:val="22"/>
          <w:szCs w:val="22"/>
          <w:bdr w:val="none" w:sz="0" w:space="0" w:color="auto"/>
          <w:lang w:eastAsia="de-DE"/>
        </w:rPr>
        <w:t xml:space="preserve"> wir</w:t>
      </w:r>
      <w:r w:rsidRPr="0053798F">
        <w:rPr>
          <w:rFonts w:ascii="Arial" w:hAnsi="Arial" w:cs="Arial"/>
          <w:color w:val="auto"/>
          <w:sz w:val="22"/>
          <w:szCs w:val="22"/>
          <w:bdr w:val="none" w:sz="0" w:space="0" w:color="auto"/>
          <w:lang w:eastAsia="de-DE"/>
        </w:rPr>
        <w:t xml:space="preserve"> </w:t>
      </w:r>
      <w:r w:rsidR="00FC73A0">
        <w:rPr>
          <w:rFonts w:ascii="Arial" w:hAnsi="Arial" w:cs="Arial"/>
          <w:color w:val="auto"/>
          <w:sz w:val="22"/>
          <w:szCs w:val="22"/>
          <w:bdr w:val="none" w:sz="0" w:space="0" w:color="auto"/>
          <w:lang w:eastAsia="de-DE"/>
        </w:rPr>
        <w:t xml:space="preserve">eine </w:t>
      </w:r>
      <w:r w:rsidRPr="0053798F">
        <w:rPr>
          <w:rFonts w:ascii="Arial" w:hAnsi="Arial" w:cs="Arial"/>
          <w:color w:val="auto"/>
          <w:sz w:val="22"/>
          <w:szCs w:val="22"/>
          <w:bdr w:val="none" w:sz="0" w:space="0" w:color="auto"/>
          <w:lang w:eastAsia="de-DE"/>
        </w:rPr>
        <w:t>unbürokratische Corona-Express-Finanzierung</w:t>
      </w:r>
      <w:r w:rsidR="00FC73A0">
        <w:rPr>
          <w:rFonts w:ascii="Arial" w:hAnsi="Arial" w:cs="Arial"/>
          <w:color w:val="auto"/>
          <w:sz w:val="22"/>
          <w:szCs w:val="22"/>
          <w:bdr w:val="none" w:sz="0" w:space="0" w:color="auto"/>
          <w:lang w:eastAsia="de-DE"/>
        </w:rPr>
        <w:t xml:space="preserve"> im Programm</w:t>
      </w:r>
      <w:r w:rsidR="00397AC2">
        <w:rPr>
          <w:rFonts w:ascii="Arial" w:hAnsi="Arial" w:cs="Arial"/>
          <w:color w:val="auto"/>
          <w:sz w:val="22"/>
          <w:szCs w:val="22"/>
          <w:bdr w:val="none" w:sz="0" w:space="0" w:color="auto"/>
          <w:lang w:eastAsia="de-DE"/>
        </w:rPr>
        <w:t xml:space="preserve"> und vermitteln auch </w:t>
      </w:r>
      <w:r w:rsidRPr="0053798F">
        <w:rPr>
          <w:rFonts w:ascii="Arial" w:hAnsi="Arial" w:cs="Arial"/>
          <w:color w:val="auto"/>
          <w:sz w:val="22"/>
          <w:szCs w:val="22"/>
          <w:bdr w:val="none" w:sz="0" w:space="0" w:color="auto"/>
          <w:lang w:eastAsia="de-DE"/>
        </w:rPr>
        <w:t>öffentliche Mittel.</w:t>
      </w:r>
      <w:r w:rsidR="00397AC2">
        <w:rPr>
          <w:rFonts w:ascii="Arial" w:hAnsi="Arial" w:cs="Arial"/>
          <w:color w:val="auto"/>
          <w:sz w:val="22"/>
          <w:szCs w:val="22"/>
          <w:bdr w:val="none" w:sz="0" w:space="0" w:color="auto"/>
          <w:lang w:eastAsia="de-DE"/>
        </w:rPr>
        <w:t xml:space="preserve"> </w:t>
      </w:r>
      <w:r w:rsidR="00FC73A0">
        <w:rPr>
          <w:rFonts w:ascii="Arial" w:hAnsi="Arial" w:cs="Arial"/>
          <w:color w:val="auto"/>
          <w:sz w:val="22"/>
          <w:szCs w:val="22"/>
          <w:bdr w:val="none" w:sz="0" w:space="0" w:color="auto"/>
          <w:lang w:eastAsia="de-DE"/>
        </w:rPr>
        <w:t xml:space="preserve">Gleichzeitig </w:t>
      </w:r>
      <w:r w:rsidR="00397AC2">
        <w:rPr>
          <w:rFonts w:ascii="Arial" w:hAnsi="Arial" w:cs="Arial"/>
          <w:color w:val="auto"/>
          <w:sz w:val="22"/>
          <w:szCs w:val="22"/>
          <w:bdr w:val="none" w:sz="0" w:space="0" w:color="auto"/>
          <w:lang w:eastAsia="de-DE"/>
        </w:rPr>
        <w:t>ist</w:t>
      </w:r>
      <w:r w:rsidRPr="0053798F">
        <w:rPr>
          <w:rFonts w:ascii="Arial" w:hAnsi="Arial" w:cs="Arial"/>
          <w:sz w:val="22"/>
          <w:szCs w:val="22"/>
          <w:bdr w:val="none" w:sz="0" w:space="0" w:color="auto"/>
          <w:lang w:eastAsia="de-DE"/>
        </w:rPr>
        <w:t xml:space="preserve"> </w:t>
      </w:r>
      <w:r w:rsidRPr="0053798F">
        <w:rPr>
          <w:rFonts w:ascii="Arial" w:hAnsi="Arial" w:cs="Arial"/>
          <w:color w:val="auto"/>
          <w:sz w:val="22"/>
          <w:szCs w:val="22"/>
          <w:bdr w:val="none" w:sz="0" w:space="0" w:color="auto"/>
          <w:lang w:eastAsia="de-DE"/>
        </w:rPr>
        <w:t>absehbar, dass Corona sich</w:t>
      </w:r>
      <w:r w:rsidR="00397AC2">
        <w:rPr>
          <w:rFonts w:ascii="Arial" w:hAnsi="Arial" w:cs="Arial"/>
          <w:color w:val="auto"/>
          <w:sz w:val="22"/>
          <w:szCs w:val="22"/>
          <w:bdr w:val="none" w:sz="0" w:space="0" w:color="auto"/>
          <w:lang w:eastAsia="de-DE"/>
        </w:rPr>
        <w:t xml:space="preserve"> mittelfristig</w:t>
      </w:r>
      <w:r w:rsidRPr="0053798F">
        <w:rPr>
          <w:rFonts w:ascii="Arial" w:hAnsi="Arial" w:cs="Arial"/>
          <w:color w:val="auto"/>
          <w:sz w:val="22"/>
          <w:szCs w:val="22"/>
          <w:bdr w:val="none" w:sz="0" w:space="0" w:color="auto"/>
          <w:lang w:eastAsia="de-DE"/>
        </w:rPr>
        <w:t xml:space="preserve"> auf das Kirchensteueraufkommen auswirken wird</w:t>
      </w:r>
      <w:r w:rsidR="00397AC2">
        <w:rPr>
          <w:rFonts w:ascii="Arial" w:hAnsi="Arial" w:cs="Arial"/>
          <w:color w:val="auto"/>
          <w:sz w:val="22"/>
          <w:szCs w:val="22"/>
          <w:bdr w:val="none" w:sz="0" w:space="0" w:color="auto"/>
          <w:lang w:eastAsia="de-DE"/>
        </w:rPr>
        <w:t>. D</w:t>
      </w:r>
      <w:r w:rsidRPr="0053798F">
        <w:rPr>
          <w:rFonts w:ascii="Arial" w:hAnsi="Arial" w:cs="Arial"/>
          <w:color w:val="auto"/>
          <w:sz w:val="22"/>
          <w:szCs w:val="22"/>
          <w:bdr w:val="none" w:sz="0" w:space="0" w:color="auto"/>
          <w:lang w:eastAsia="de-DE"/>
        </w:rPr>
        <w:t>iakonische Einrichtungen</w:t>
      </w:r>
      <w:r w:rsidR="00397AC2">
        <w:rPr>
          <w:rFonts w:ascii="Arial" w:hAnsi="Arial" w:cs="Arial"/>
          <w:color w:val="auto"/>
          <w:sz w:val="22"/>
          <w:szCs w:val="22"/>
          <w:bdr w:val="none" w:sz="0" w:space="0" w:color="auto"/>
          <w:lang w:eastAsia="de-DE"/>
        </w:rPr>
        <w:t xml:space="preserve"> haben zum Teil </w:t>
      </w:r>
      <w:r w:rsidRPr="0053798F">
        <w:rPr>
          <w:rFonts w:ascii="Arial" w:hAnsi="Arial" w:cs="Arial"/>
          <w:color w:val="auto"/>
          <w:sz w:val="22"/>
          <w:szCs w:val="22"/>
          <w:bdr w:val="none" w:sz="0" w:space="0" w:color="auto"/>
          <w:lang w:eastAsia="de-DE"/>
        </w:rPr>
        <w:t>mit Belegungsproblemen und Umsatzrückgängen zu kämpfen und das bei einem erhöhten Aufwand für die zusätzlichen Hygiene- und Schutzmaßnahmen.</w:t>
      </w:r>
      <w:r w:rsidR="00397AC2">
        <w:rPr>
          <w:rFonts w:ascii="Arial" w:hAnsi="Arial" w:cs="Arial"/>
          <w:color w:val="auto"/>
          <w:sz w:val="22"/>
          <w:szCs w:val="22"/>
          <w:bdr w:val="none" w:sz="0" w:space="0" w:color="auto"/>
          <w:lang w:eastAsia="de-DE"/>
        </w:rPr>
        <w:t xml:space="preserve"> </w:t>
      </w:r>
      <w:r w:rsidRPr="0053798F">
        <w:rPr>
          <w:rFonts w:ascii="Arial" w:hAnsi="Arial" w:cs="Arial"/>
          <w:color w:val="auto"/>
          <w:sz w:val="22"/>
          <w:szCs w:val="22"/>
          <w:bdr w:val="none" w:sz="0" w:space="0" w:color="auto"/>
          <w:lang w:eastAsia="de-DE"/>
        </w:rPr>
        <w:t>Hier wird es darauf ankommen, welche Aufwendungen durch die Schutzschirme gedeckt sein werden“</w:t>
      </w:r>
      <w:r w:rsidR="00397AC2">
        <w:rPr>
          <w:rFonts w:ascii="Arial" w:hAnsi="Arial" w:cs="Arial"/>
          <w:color w:val="auto"/>
          <w:sz w:val="22"/>
          <w:szCs w:val="22"/>
          <w:bdr w:val="none" w:sz="0" w:space="0" w:color="auto"/>
          <w:lang w:eastAsia="de-DE"/>
        </w:rPr>
        <w:t>, blickt Thiesler in die Zukunft.</w:t>
      </w:r>
    </w:p>
    <w:p w14:paraId="7BC77A29" w14:textId="78365598" w:rsidR="0016403A" w:rsidRPr="00C46550" w:rsidRDefault="0053798F" w:rsidP="004405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rPr>
          <w:rFonts w:ascii="Arial" w:hAnsi="Arial" w:cs="Arial"/>
          <w:sz w:val="22"/>
          <w:szCs w:val="22"/>
        </w:rPr>
      </w:pPr>
      <w:r w:rsidRPr="0053798F">
        <w:rPr>
          <w:rFonts w:ascii="Arial" w:hAnsi="Arial" w:cs="Arial"/>
          <w:color w:val="auto"/>
          <w:sz w:val="22"/>
          <w:szCs w:val="22"/>
          <w:bdr w:val="none" w:sz="0" w:space="0" w:color="auto"/>
          <w:lang w:eastAsia="de-DE"/>
        </w:rPr>
        <w:t xml:space="preserve">Die Bankenaufsicht hat die Kreditinstitute aufgefordert, in der Corona-Krise bis zum 3. Quartal 2020 keine Gewinne auszuschütten. Deshalb haben Vorstand und Aufsichtsrat der KD-Bank entschieden, die Generalversammlung, die über die Ausschüttung der Dividende entscheidet, auf den 27. Oktober 2020 zu verschieben. „Mit der Verschiebung erhalten wir uns die Möglichkeit des wichtigen persönlichen Austauschs mit unseren Mitgliedern und der Ausschüttung einer Dividende in Höhe von 4 </w:t>
      </w:r>
      <w:r w:rsidR="008A08D0">
        <w:rPr>
          <w:rFonts w:ascii="Arial" w:hAnsi="Arial" w:cs="Arial"/>
          <w:color w:val="auto"/>
          <w:sz w:val="22"/>
          <w:szCs w:val="22"/>
          <w:bdr w:val="none" w:sz="0" w:space="0" w:color="auto"/>
          <w:lang w:eastAsia="de-DE"/>
        </w:rPr>
        <w:t>Prozent</w:t>
      </w:r>
      <w:r w:rsidRPr="0053798F">
        <w:rPr>
          <w:rFonts w:ascii="Arial" w:hAnsi="Arial" w:cs="Arial"/>
          <w:color w:val="auto"/>
          <w:sz w:val="22"/>
          <w:szCs w:val="22"/>
          <w:bdr w:val="none" w:sz="0" w:space="0" w:color="auto"/>
          <w:lang w:eastAsia="de-DE"/>
        </w:rPr>
        <w:t xml:space="preserve"> für das Geschäftsjahr 2019“, so Thiesler weiter. </w:t>
      </w:r>
      <w:r w:rsidR="00583293" w:rsidRPr="00C46550">
        <w:rPr>
          <w:rFonts w:ascii="Arial" w:hAnsi="Arial" w:cs="Arial"/>
          <w:sz w:val="22"/>
          <w:szCs w:val="22"/>
        </w:rPr>
        <w:t xml:space="preserve">Den Jahresbericht </w:t>
      </w:r>
      <w:r w:rsidR="00D87FE7" w:rsidRPr="00C46550">
        <w:rPr>
          <w:rFonts w:ascii="Arial" w:hAnsi="Arial" w:cs="Arial"/>
          <w:sz w:val="22"/>
          <w:szCs w:val="22"/>
        </w:rPr>
        <w:t xml:space="preserve">2019 </w:t>
      </w:r>
      <w:r w:rsidR="00397AC2">
        <w:rPr>
          <w:rFonts w:ascii="Arial" w:hAnsi="Arial" w:cs="Arial"/>
          <w:sz w:val="22"/>
          <w:szCs w:val="22"/>
        </w:rPr>
        <w:t xml:space="preserve">und viele weitere Informationen </w:t>
      </w:r>
      <w:r w:rsidR="00583293" w:rsidRPr="00C46550">
        <w:rPr>
          <w:rFonts w:ascii="Arial" w:hAnsi="Arial" w:cs="Arial"/>
          <w:sz w:val="22"/>
          <w:szCs w:val="22"/>
        </w:rPr>
        <w:t xml:space="preserve">finden Sie unter: </w:t>
      </w:r>
      <w:hyperlink r:id="rId7" w:history="1">
        <w:r w:rsidR="00583293" w:rsidRPr="00151D2B">
          <w:rPr>
            <w:rStyle w:val="Hyperlink"/>
            <w:rFonts w:ascii="Arial" w:hAnsi="Arial" w:cs="Arial"/>
            <w:sz w:val="22"/>
            <w:szCs w:val="22"/>
          </w:rPr>
          <w:t>www.KD-Bank.de/ueberuns</w:t>
        </w:r>
      </w:hyperlink>
      <w:bookmarkStart w:id="0" w:name="_GoBack"/>
      <w:bookmarkEnd w:id="0"/>
      <w:r w:rsidR="006756A3" w:rsidRPr="00C46550">
        <w:rPr>
          <w:rFonts w:ascii="Arial" w:hAnsi="Arial" w:cs="Arial"/>
          <w:sz w:val="22"/>
          <w:szCs w:val="22"/>
        </w:rPr>
        <w:br/>
      </w:r>
    </w:p>
    <w:p w14:paraId="2EA66FAE" w14:textId="77777777" w:rsidR="00EA074E" w:rsidRPr="00C46550"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C46550">
        <w:rPr>
          <w:rFonts w:ascii="Arial" w:eastAsia="Arial" w:hAnsi="Arial" w:cs="Arial"/>
          <w:b/>
          <w:bCs/>
          <w:sz w:val="22"/>
          <w:szCs w:val="22"/>
        </w:rPr>
        <w:lastRenderedPageBreak/>
        <w:t>Pressekontakt</w:t>
      </w:r>
    </w:p>
    <w:p w14:paraId="4217388F" w14:textId="77777777" w:rsidR="00EA074E" w:rsidRPr="00C46550" w:rsidRDefault="005A3C1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C46550">
        <w:rPr>
          <w:rFonts w:ascii="Arial" w:eastAsia="Arial" w:hAnsi="Arial" w:cs="Arial"/>
          <w:sz w:val="22"/>
          <w:szCs w:val="22"/>
        </w:rPr>
        <w:t>Susanne Hammans</w:t>
      </w:r>
      <w:r w:rsidRPr="00C46550">
        <w:rPr>
          <w:rFonts w:ascii="Arial" w:eastAsia="Arial" w:hAnsi="Arial" w:cs="Arial"/>
          <w:sz w:val="22"/>
          <w:szCs w:val="22"/>
        </w:rPr>
        <w:tab/>
      </w:r>
      <w:r w:rsidR="009B7DDB" w:rsidRPr="00C46550">
        <w:rPr>
          <w:rFonts w:ascii="Arial" w:eastAsia="Arial" w:hAnsi="Arial" w:cs="Arial"/>
          <w:sz w:val="22"/>
          <w:szCs w:val="22"/>
        </w:rPr>
        <w:br/>
      </w:r>
      <w:proofErr w:type="gramStart"/>
      <w:r w:rsidR="009B7DDB" w:rsidRPr="00C46550">
        <w:rPr>
          <w:rFonts w:ascii="Arial" w:eastAsia="Arial" w:hAnsi="Arial" w:cs="Arial"/>
          <w:sz w:val="22"/>
          <w:szCs w:val="22"/>
        </w:rPr>
        <w:t>Fon  0231</w:t>
      </w:r>
      <w:proofErr w:type="gramEnd"/>
      <w:r w:rsidR="009B7DDB" w:rsidRPr="00C46550">
        <w:rPr>
          <w:rFonts w:ascii="Arial" w:eastAsia="Arial" w:hAnsi="Arial" w:cs="Arial"/>
          <w:sz w:val="22"/>
          <w:szCs w:val="22"/>
        </w:rPr>
        <w:t xml:space="preserve"> 58444-24</w:t>
      </w:r>
      <w:r w:rsidRPr="00C46550">
        <w:rPr>
          <w:rFonts w:ascii="Arial" w:eastAsia="Arial" w:hAnsi="Arial" w:cs="Arial"/>
          <w:sz w:val="22"/>
          <w:szCs w:val="22"/>
        </w:rPr>
        <w:t>1</w:t>
      </w:r>
      <w:r w:rsidR="009F1D00" w:rsidRPr="00C46550">
        <w:rPr>
          <w:rFonts w:ascii="Arial" w:eastAsia="Arial" w:hAnsi="Arial" w:cs="Arial"/>
          <w:sz w:val="22"/>
          <w:szCs w:val="22"/>
        </w:rPr>
        <w:t xml:space="preserve"> </w:t>
      </w:r>
    </w:p>
    <w:p w14:paraId="0FE19155" w14:textId="77777777" w:rsidR="00EA074E" w:rsidRPr="00C46550"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C46550">
        <w:rPr>
          <w:rFonts w:ascii="Arial" w:eastAsia="Arial" w:hAnsi="Arial" w:cs="Arial"/>
          <w:sz w:val="22"/>
          <w:szCs w:val="22"/>
        </w:rPr>
        <w:t xml:space="preserve">E-Mail </w:t>
      </w:r>
      <w:r w:rsidR="009F1D00" w:rsidRPr="00C46550">
        <w:rPr>
          <w:rFonts w:ascii="Arial" w:eastAsia="Arial" w:hAnsi="Arial" w:cs="Arial"/>
          <w:sz w:val="22"/>
          <w:szCs w:val="22"/>
        </w:rPr>
        <w:t xml:space="preserve"> </w:t>
      </w:r>
      <w:hyperlink r:id="rId8" w:history="1">
        <w:r w:rsidR="001F3E9F" w:rsidRPr="00C46550">
          <w:rPr>
            <w:rStyle w:val="Hyperlink"/>
            <w:rFonts w:ascii="Arial" w:eastAsia="Arial" w:hAnsi="Arial" w:cs="Arial"/>
            <w:sz w:val="22"/>
            <w:szCs w:val="22"/>
            <w:u w:color="0000FF"/>
          </w:rPr>
          <w:t>Susanne.Hammans@KD-Bank.de</w:t>
        </w:r>
      </w:hyperlink>
    </w:p>
    <w:p w14:paraId="5B911303" w14:textId="77777777" w:rsidR="00EA074E" w:rsidRPr="00C46550" w:rsidRDefault="00EA074E"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16"/>
          <w:szCs w:val="16"/>
        </w:rPr>
      </w:pPr>
    </w:p>
    <w:p w14:paraId="67934F93" w14:textId="77777777" w:rsidR="00EA074E" w:rsidRPr="00C46550"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sidRPr="00C46550">
        <w:rPr>
          <w:rFonts w:ascii="Arial" w:eastAsia="Arial" w:hAnsi="Arial" w:cs="Arial"/>
          <w:b/>
          <w:bCs/>
          <w:sz w:val="16"/>
          <w:szCs w:val="16"/>
        </w:rPr>
        <w:t>Über die Bank für Kirche und Diakonie</w:t>
      </w:r>
    </w:p>
    <w:p w14:paraId="1960B36A" w14:textId="77777777" w:rsidR="00195469" w:rsidRPr="00C46550" w:rsidRDefault="004671A0"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16"/>
          <w:szCs w:val="16"/>
        </w:rPr>
      </w:pPr>
      <w:r w:rsidRPr="00C46550">
        <w:rPr>
          <w:rFonts w:ascii="Arial" w:hAnsi="Arial" w:cs="Arial"/>
          <w:sz w:val="16"/>
          <w:szCs w:val="16"/>
        </w:rPr>
        <w:t xml:space="preserve">Seit über 90 Jahren kümmert sich die Bank für Kirche und Diakonie um die Finanzen von Kirche und Diakonie. Für die erste evangelische Darlehensgenossenschaft war Hilfe zur Selbsthilfe das Gründungsmotiv, es besteht bis heute fort. Kirchliche Anlagegelder ethisch-nachhaltig </w:t>
      </w:r>
      <w:r w:rsidR="0048294D" w:rsidRPr="00C46550">
        <w:rPr>
          <w:rFonts w:ascii="Arial" w:hAnsi="Arial" w:cs="Arial"/>
          <w:sz w:val="16"/>
          <w:szCs w:val="16"/>
        </w:rPr>
        <w:t xml:space="preserve">zu </w:t>
      </w:r>
      <w:r w:rsidRPr="00C46550">
        <w:rPr>
          <w:rFonts w:ascii="Arial" w:hAnsi="Arial" w:cs="Arial"/>
          <w:sz w:val="16"/>
          <w:szCs w:val="16"/>
        </w:rPr>
        <w:t xml:space="preserve">investieren und damit soziale Projekte </w:t>
      </w:r>
      <w:r w:rsidR="0048294D" w:rsidRPr="00C46550">
        <w:rPr>
          <w:rFonts w:ascii="Arial" w:hAnsi="Arial" w:cs="Arial"/>
          <w:sz w:val="16"/>
          <w:szCs w:val="16"/>
        </w:rPr>
        <w:t>zu finanzieren</w:t>
      </w:r>
      <w:r w:rsidRPr="00C46550">
        <w:rPr>
          <w:rFonts w:ascii="Arial" w:hAnsi="Arial" w:cs="Arial"/>
          <w:sz w:val="16"/>
          <w:szCs w:val="16"/>
        </w:rPr>
        <w:t xml:space="preserve"> ist das Kerngeschäft de</w:t>
      </w:r>
      <w:r w:rsidR="0048294D" w:rsidRPr="00C46550">
        <w:rPr>
          <w:rFonts w:ascii="Arial" w:hAnsi="Arial" w:cs="Arial"/>
          <w:sz w:val="16"/>
          <w:szCs w:val="16"/>
        </w:rPr>
        <w:t xml:space="preserve">r Bank. So hat die Bank rund </w:t>
      </w:r>
      <w:r w:rsidR="00783B4C" w:rsidRPr="00C46550">
        <w:rPr>
          <w:rFonts w:ascii="Arial" w:hAnsi="Arial" w:cs="Arial"/>
          <w:sz w:val="16"/>
          <w:szCs w:val="16"/>
        </w:rPr>
        <w:t xml:space="preserve">2 </w:t>
      </w:r>
      <w:r w:rsidRPr="00C46550">
        <w:rPr>
          <w:rFonts w:ascii="Arial" w:hAnsi="Arial" w:cs="Arial"/>
          <w:sz w:val="16"/>
          <w:szCs w:val="16"/>
        </w:rPr>
        <w:t xml:space="preserve">Milliarden Euro in die Bereiche Lebensqualität im Alter, Gesundheit, Hilfe, lebendiges Gemeindeleben, Bildung, bezahlbaren Wohnraum sowie den privaten Wohnungsbau investiert. Rund </w:t>
      </w:r>
      <w:r w:rsidR="00B4140A" w:rsidRPr="00C46550">
        <w:rPr>
          <w:rFonts w:ascii="Arial" w:hAnsi="Arial" w:cs="Arial"/>
          <w:sz w:val="16"/>
          <w:szCs w:val="16"/>
        </w:rPr>
        <w:t>4</w:t>
      </w:r>
      <w:r w:rsidRPr="00C46550">
        <w:rPr>
          <w:rFonts w:ascii="Arial" w:hAnsi="Arial" w:cs="Arial"/>
          <w:sz w:val="16"/>
          <w:szCs w:val="16"/>
        </w:rPr>
        <w:t xml:space="preserve"> Milliarden Euro werden unter ethisch-nachhaltigen Kriterien am Kapitalmarkt angelegt. Privatkunden, die die christlichen Werte der Bank teilen, sind herzlich willkommen. </w:t>
      </w:r>
      <w:r w:rsidR="009B7DDB" w:rsidRPr="00C46550">
        <w:rPr>
          <w:rFonts w:ascii="Arial" w:eastAsia="Arial" w:hAnsi="Arial" w:cs="Arial"/>
          <w:sz w:val="16"/>
          <w:szCs w:val="16"/>
        </w:rPr>
        <w:t xml:space="preserve">Die Bank für Kirche und Diakonie zählt zu den Top 20 der größten Genossenschaftsbanken in Deutschland. Sie hat Standorte und Ansprechpartner in Dortmund (Hauptstelle), Berlin, Dresden, Duisburg, </w:t>
      </w:r>
      <w:r w:rsidR="00055724" w:rsidRPr="00C46550">
        <w:rPr>
          <w:rFonts w:ascii="Arial" w:eastAsia="Arial" w:hAnsi="Arial" w:cs="Arial"/>
          <w:sz w:val="16"/>
          <w:szCs w:val="16"/>
        </w:rPr>
        <w:t xml:space="preserve">Hamburg, </w:t>
      </w:r>
      <w:r w:rsidR="009B7DDB" w:rsidRPr="00C46550">
        <w:rPr>
          <w:rFonts w:ascii="Arial" w:eastAsia="Arial" w:hAnsi="Arial" w:cs="Arial"/>
          <w:sz w:val="16"/>
          <w:szCs w:val="16"/>
        </w:rPr>
        <w:t>Magdeburg,</w:t>
      </w:r>
      <w:r w:rsidR="00055724" w:rsidRPr="00C46550">
        <w:rPr>
          <w:rFonts w:ascii="Arial" w:eastAsia="Arial" w:hAnsi="Arial" w:cs="Arial"/>
          <w:sz w:val="16"/>
          <w:szCs w:val="16"/>
        </w:rPr>
        <w:t xml:space="preserve"> Mainz, Mannheim,</w:t>
      </w:r>
      <w:r w:rsidR="009B7DDB" w:rsidRPr="00C46550">
        <w:rPr>
          <w:rFonts w:ascii="Arial" w:eastAsia="Arial" w:hAnsi="Arial" w:cs="Arial"/>
          <w:sz w:val="16"/>
          <w:szCs w:val="16"/>
        </w:rPr>
        <w:t xml:space="preserve"> </w:t>
      </w:r>
      <w:r w:rsidR="00055724" w:rsidRPr="00C46550">
        <w:rPr>
          <w:rFonts w:ascii="Arial" w:eastAsia="Arial" w:hAnsi="Arial" w:cs="Arial"/>
          <w:sz w:val="16"/>
          <w:szCs w:val="16"/>
        </w:rPr>
        <w:t>München,</w:t>
      </w:r>
      <w:r w:rsidR="009B7DDB" w:rsidRPr="00C46550">
        <w:rPr>
          <w:rFonts w:ascii="Arial" w:eastAsia="Arial" w:hAnsi="Arial" w:cs="Arial"/>
          <w:sz w:val="16"/>
          <w:szCs w:val="16"/>
        </w:rPr>
        <w:t xml:space="preserve"> Nürnberg</w:t>
      </w:r>
      <w:r w:rsidR="00055724" w:rsidRPr="00C46550">
        <w:rPr>
          <w:rFonts w:ascii="Arial" w:eastAsia="Arial" w:hAnsi="Arial" w:cs="Arial"/>
          <w:sz w:val="16"/>
          <w:szCs w:val="16"/>
        </w:rPr>
        <w:t xml:space="preserve"> und Stuttgart</w:t>
      </w:r>
      <w:r w:rsidR="009B7DDB" w:rsidRPr="00C46550">
        <w:rPr>
          <w:rFonts w:ascii="Arial" w:eastAsia="Arial" w:hAnsi="Arial" w:cs="Arial"/>
          <w:sz w:val="16"/>
          <w:szCs w:val="16"/>
        </w:rPr>
        <w:t>.</w:t>
      </w:r>
    </w:p>
    <w:p w14:paraId="2DCFAA66" w14:textId="77777777" w:rsidR="0083290A" w:rsidRDefault="0083290A"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p w14:paraId="12C8CA13" w14:textId="77777777" w:rsidR="0053798F" w:rsidRDefault="0053798F"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p w14:paraId="3BFCE52A" w14:textId="77777777" w:rsidR="0053798F" w:rsidRPr="005E413A" w:rsidRDefault="0053798F"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sectPr w:rsidR="0053798F" w:rsidRPr="005E413A" w:rsidSect="0083290A">
      <w:headerReference w:type="default" r:id="rId9"/>
      <w:footerReference w:type="default" r:id="rId10"/>
      <w:pgSz w:w="11900" w:h="16840"/>
      <w:pgMar w:top="1418" w:right="2268"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64DF1" w14:textId="77777777" w:rsidR="00736F5E" w:rsidRDefault="00736F5E" w:rsidP="00EA074E">
      <w:r>
        <w:separator/>
      </w:r>
    </w:p>
  </w:endnote>
  <w:endnote w:type="continuationSeparator" w:id="0">
    <w:p w14:paraId="7937A600" w14:textId="77777777" w:rsidR="00736F5E" w:rsidRDefault="00736F5E" w:rsidP="00EA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altName w:val="Sparkasse Lt"/>
    <w:panose1 w:val="020B0503060000020004"/>
    <w:charset w:val="00"/>
    <w:family w:val="swiss"/>
    <w:pitch w:val="variable"/>
    <w:sig w:usb0="80000027" w:usb1="00000001" w:usb2="00000000" w:usb3="00000000" w:csb0="00000001"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F2509" w14:textId="77777777" w:rsidR="00C7650D" w:rsidRDefault="00C7650D">
    <w:pPr>
      <w:rPr>
        <w:rFonts w:ascii="Arial" w:eastAsia="Arial" w:hAnsi="Arial" w:cs="Arial"/>
        <w:sz w:val="24"/>
        <w:szCs w:val="24"/>
      </w:rPr>
    </w:pPr>
  </w:p>
  <w:p w14:paraId="6D8CBFD4" w14:textId="77777777" w:rsidR="00B07B2D" w:rsidRDefault="00B07B2D">
    <w:r>
      <w:rPr>
        <w:rFonts w:ascii="Arial" w:eastAsia="Arial" w:hAnsi="Arial" w:cs="Arial"/>
        <w:sz w:val="24"/>
        <w:szCs w:val="24"/>
      </w:rPr>
      <w:t>Gemeinsam handeln – Gutes bewirken.</w:t>
    </w:r>
    <w:r>
      <w:rPr>
        <w:rFonts w:ascii="Arial" w:eastAsia="Arial" w:hAnsi="Arial" w:cs="Arial"/>
        <w:sz w:val="24"/>
        <w:szCs w:val="24"/>
      </w:rPr>
      <w:tab/>
      <w:t xml:space="preserve">Seit </w:t>
    </w:r>
    <w:r w:rsidR="00C64755">
      <w:rPr>
        <w:rFonts w:ascii="Arial" w:eastAsia="Arial" w:hAnsi="Arial" w:cs="Arial"/>
        <w:sz w:val="24"/>
        <w:szCs w:val="24"/>
      </w:rPr>
      <w:t xml:space="preserve">über </w:t>
    </w:r>
    <w:r>
      <w:rPr>
        <w:rFonts w:ascii="Arial" w:eastAsia="Arial" w:hAnsi="Arial" w:cs="Arial"/>
        <w:sz w:val="24"/>
        <w:szCs w:val="24"/>
      </w:rPr>
      <w:t>90 Jahren.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779DE" w14:textId="77777777" w:rsidR="00736F5E" w:rsidRDefault="00736F5E" w:rsidP="00EA074E">
      <w:r>
        <w:separator/>
      </w:r>
    </w:p>
  </w:footnote>
  <w:footnote w:type="continuationSeparator" w:id="0">
    <w:p w14:paraId="2BE2D89C" w14:textId="77777777" w:rsidR="00736F5E" w:rsidRDefault="00736F5E" w:rsidP="00EA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B57F" w14:textId="77777777" w:rsidR="00B07B2D" w:rsidRDefault="00B07B2D">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20CAD2DB" w14:textId="77777777" w:rsidR="00B07B2D" w:rsidRDefault="00B07B2D">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4E"/>
    <w:rsid w:val="00011C5C"/>
    <w:rsid w:val="000352A3"/>
    <w:rsid w:val="00041F46"/>
    <w:rsid w:val="00046819"/>
    <w:rsid w:val="00055724"/>
    <w:rsid w:val="00060CDF"/>
    <w:rsid w:val="00063360"/>
    <w:rsid w:val="00075B50"/>
    <w:rsid w:val="00081628"/>
    <w:rsid w:val="000847B3"/>
    <w:rsid w:val="000938E4"/>
    <w:rsid w:val="00095B36"/>
    <w:rsid w:val="00096D0E"/>
    <w:rsid w:val="000B041A"/>
    <w:rsid w:val="000B0C2E"/>
    <w:rsid w:val="000B73A6"/>
    <w:rsid w:val="000C077F"/>
    <w:rsid w:val="000C5B68"/>
    <w:rsid w:val="000E0DA7"/>
    <w:rsid w:val="000F2AAE"/>
    <w:rsid w:val="000F3EC8"/>
    <w:rsid w:val="001104F9"/>
    <w:rsid w:val="00115DE1"/>
    <w:rsid w:val="001178D4"/>
    <w:rsid w:val="00143DC3"/>
    <w:rsid w:val="00144256"/>
    <w:rsid w:val="00151D2B"/>
    <w:rsid w:val="0015434A"/>
    <w:rsid w:val="0016403A"/>
    <w:rsid w:val="00165986"/>
    <w:rsid w:val="00183995"/>
    <w:rsid w:val="00184E55"/>
    <w:rsid w:val="00190CE2"/>
    <w:rsid w:val="00195469"/>
    <w:rsid w:val="0019790D"/>
    <w:rsid w:val="001C0E1E"/>
    <w:rsid w:val="001C6F8F"/>
    <w:rsid w:val="001E515B"/>
    <w:rsid w:val="001F3556"/>
    <w:rsid w:val="001F3E9F"/>
    <w:rsid w:val="00210860"/>
    <w:rsid w:val="00210F0F"/>
    <w:rsid w:val="002220D6"/>
    <w:rsid w:val="00233608"/>
    <w:rsid w:val="00236853"/>
    <w:rsid w:val="002509A7"/>
    <w:rsid w:val="00250CFF"/>
    <w:rsid w:val="002531E1"/>
    <w:rsid w:val="00266DB0"/>
    <w:rsid w:val="002743E6"/>
    <w:rsid w:val="00292855"/>
    <w:rsid w:val="002A23CB"/>
    <w:rsid w:val="002B17DD"/>
    <w:rsid w:val="002B2B2B"/>
    <w:rsid w:val="002C07A3"/>
    <w:rsid w:val="002D410D"/>
    <w:rsid w:val="002E22C5"/>
    <w:rsid w:val="003018FE"/>
    <w:rsid w:val="00302250"/>
    <w:rsid w:val="00302AF6"/>
    <w:rsid w:val="0030366D"/>
    <w:rsid w:val="0030501D"/>
    <w:rsid w:val="00307520"/>
    <w:rsid w:val="003179BE"/>
    <w:rsid w:val="003219E4"/>
    <w:rsid w:val="00325983"/>
    <w:rsid w:val="00354B38"/>
    <w:rsid w:val="003630DA"/>
    <w:rsid w:val="00370BA4"/>
    <w:rsid w:val="00372387"/>
    <w:rsid w:val="00373385"/>
    <w:rsid w:val="00387A09"/>
    <w:rsid w:val="0039716E"/>
    <w:rsid w:val="00397AC2"/>
    <w:rsid w:val="003A04A7"/>
    <w:rsid w:val="003A3FD6"/>
    <w:rsid w:val="003A4993"/>
    <w:rsid w:val="003B5B60"/>
    <w:rsid w:val="003C0684"/>
    <w:rsid w:val="003E5D77"/>
    <w:rsid w:val="003F4233"/>
    <w:rsid w:val="003F4519"/>
    <w:rsid w:val="00403561"/>
    <w:rsid w:val="0040585A"/>
    <w:rsid w:val="00425203"/>
    <w:rsid w:val="00425FA2"/>
    <w:rsid w:val="004325BA"/>
    <w:rsid w:val="00433D6F"/>
    <w:rsid w:val="0044052C"/>
    <w:rsid w:val="0044385D"/>
    <w:rsid w:val="00463566"/>
    <w:rsid w:val="004671A0"/>
    <w:rsid w:val="004814EA"/>
    <w:rsid w:val="00481E5F"/>
    <w:rsid w:val="0048294D"/>
    <w:rsid w:val="0049671C"/>
    <w:rsid w:val="004C105E"/>
    <w:rsid w:val="004D2D87"/>
    <w:rsid w:val="004D77A4"/>
    <w:rsid w:val="004D7E99"/>
    <w:rsid w:val="004E4FFD"/>
    <w:rsid w:val="00502940"/>
    <w:rsid w:val="00503977"/>
    <w:rsid w:val="00517B89"/>
    <w:rsid w:val="00527710"/>
    <w:rsid w:val="0053798F"/>
    <w:rsid w:val="00543B1A"/>
    <w:rsid w:val="0055743D"/>
    <w:rsid w:val="00567D9F"/>
    <w:rsid w:val="00583293"/>
    <w:rsid w:val="0059583F"/>
    <w:rsid w:val="005A3C1B"/>
    <w:rsid w:val="005A759D"/>
    <w:rsid w:val="005E0A58"/>
    <w:rsid w:val="005E413A"/>
    <w:rsid w:val="005E652B"/>
    <w:rsid w:val="005F2089"/>
    <w:rsid w:val="00602825"/>
    <w:rsid w:val="00603967"/>
    <w:rsid w:val="00607276"/>
    <w:rsid w:val="0061423F"/>
    <w:rsid w:val="00623E71"/>
    <w:rsid w:val="00641281"/>
    <w:rsid w:val="00654AEE"/>
    <w:rsid w:val="00660CF9"/>
    <w:rsid w:val="00665549"/>
    <w:rsid w:val="00665D8F"/>
    <w:rsid w:val="006673E0"/>
    <w:rsid w:val="00672AE4"/>
    <w:rsid w:val="006756A3"/>
    <w:rsid w:val="00687831"/>
    <w:rsid w:val="006D47F5"/>
    <w:rsid w:val="006E34A7"/>
    <w:rsid w:val="006F4287"/>
    <w:rsid w:val="00703A51"/>
    <w:rsid w:val="00706718"/>
    <w:rsid w:val="00736F5E"/>
    <w:rsid w:val="00746244"/>
    <w:rsid w:val="00755B51"/>
    <w:rsid w:val="00783B4C"/>
    <w:rsid w:val="00794891"/>
    <w:rsid w:val="007C25F4"/>
    <w:rsid w:val="007D2DAC"/>
    <w:rsid w:val="007D4B94"/>
    <w:rsid w:val="007E0B1A"/>
    <w:rsid w:val="007F1093"/>
    <w:rsid w:val="007F580D"/>
    <w:rsid w:val="008262BB"/>
    <w:rsid w:val="0083290A"/>
    <w:rsid w:val="00855D35"/>
    <w:rsid w:val="0085612F"/>
    <w:rsid w:val="00857F5F"/>
    <w:rsid w:val="00872B92"/>
    <w:rsid w:val="0087513A"/>
    <w:rsid w:val="0088505C"/>
    <w:rsid w:val="0089528F"/>
    <w:rsid w:val="00896E94"/>
    <w:rsid w:val="008A08D0"/>
    <w:rsid w:val="008B50BA"/>
    <w:rsid w:val="008B5B09"/>
    <w:rsid w:val="008D0EC0"/>
    <w:rsid w:val="008E27A3"/>
    <w:rsid w:val="008E2F02"/>
    <w:rsid w:val="008E756A"/>
    <w:rsid w:val="008F5634"/>
    <w:rsid w:val="008F56CD"/>
    <w:rsid w:val="009124D8"/>
    <w:rsid w:val="00917A66"/>
    <w:rsid w:val="009375FE"/>
    <w:rsid w:val="009660C4"/>
    <w:rsid w:val="00971E62"/>
    <w:rsid w:val="009B7113"/>
    <w:rsid w:val="009B7D32"/>
    <w:rsid w:val="009B7DDB"/>
    <w:rsid w:val="009C3E98"/>
    <w:rsid w:val="009C5602"/>
    <w:rsid w:val="009E41C8"/>
    <w:rsid w:val="009F1D00"/>
    <w:rsid w:val="009F5258"/>
    <w:rsid w:val="00A05B1C"/>
    <w:rsid w:val="00A0635E"/>
    <w:rsid w:val="00A107D9"/>
    <w:rsid w:val="00A17416"/>
    <w:rsid w:val="00A3369A"/>
    <w:rsid w:val="00A73542"/>
    <w:rsid w:val="00A860C9"/>
    <w:rsid w:val="00AA4155"/>
    <w:rsid w:val="00AB3618"/>
    <w:rsid w:val="00AD0C50"/>
    <w:rsid w:val="00AD61CB"/>
    <w:rsid w:val="00AE041F"/>
    <w:rsid w:val="00B07B2D"/>
    <w:rsid w:val="00B1454B"/>
    <w:rsid w:val="00B15641"/>
    <w:rsid w:val="00B24B75"/>
    <w:rsid w:val="00B25215"/>
    <w:rsid w:val="00B33835"/>
    <w:rsid w:val="00B351CC"/>
    <w:rsid w:val="00B4140A"/>
    <w:rsid w:val="00B446FB"/>
    <w:rsid w:val="00B45133"/>
    <w:rsid w:val="00B464F6"/>
    <w:rsid w:val="00B62248"/>
    <w:rsid w:val="00BA1690"/>
    <w:rsid w:val="00BB4D5B"/>
    <w:rsid w:val="00BB65E2"/>
    <w:rsid w:val="00BC1FB5"/>
    <w:rsid w:val="00BD077D"/>
    <w:rsid w:val="00BF7A86"/>
    <w:rsid w:val="00C02A20"/>
    <w:rsid w:val="00C10688"/>
    <w:rsid w:val="00C37372"/>
    <w:rsid w:val="00C37907"/>
    <w:rsid w:val="00C412DC"/>
    <w:rsid w:val="00C46550"/>
    <w:rsid w:val="00C64755"/>
    <w:rsid w:val="00C65338"/>
    <w:rsid w:val="00C677B1"/>
    <w:rsid w:val="00C7650D"/>
    <w:rsid w:val="00C90FA5"/>
    <w:rsid w:val="00C95505"/>
    <w:rsid w:val="00CC61A0"/>
    <w:rsid w:val="00CD4001"/>
    <w:rsid w:val="00CE0672"/>
    <w:rsid w:val="00D072B0"/>
    <w:rsid w:val="00D215F4"/>
    <w:rsid w:val="00D4115F"/>
    <w:rsid w:val="00D431BE"/>
    <w:rsid w:val="00D4550A"/>
    <w:rsid w:val="00D55F87"/>
    <w:rsid w:val="00D57C23"/>
    <w:rsid w:val="00D724C3"/>
    <w:rsid w:val="00D73176"/>
    <w:rsid w:val="00D76F48"/>
    <w:rsid w:val="00D873A4"/>
    <w:rsid w:val="00D87FE7"/>
    <w:rsid w:val="00DA3FAD"/>
    <w:rsid w:val="00DA401F"/>
    <w:rsid w:val="00DD4145"/>
    <w:rsid w:val="00DD6B28"/>
    <w:rsid w:val="00DE2F3D"/>
    <w:rsid w:val="00DF37AE"/>
    <w:rsid w:val="00E230F4"/>
    <w:rsid w:val="00E417A1"/>
    <w:rsid w:val="00E6031D"/>
    <w:rsid w:val="00E67131"/>
    <w:rsid w:val="00E707EB"/>
    <w:rsid w:val="00E728CB"/>
    <w:rsid w:val="00E905E2"/>
    <w:rsid w:val="00EA074E"/>
    <w:rsid w:val="00EA1759"/>
    <w:rsid w:val="00EB7EFB"/>
    <w:rsid w:val="00EC64B1"/>
    <w:rsid w:val="00ED36D7"/>
    <w:rsid w:val="00EE3C16"/>
    <w:rsid w:val="00EE79D4"/>
    <w:rsid w:val="00F1285E"/>
    <w:rsid w:val="00F228DD"/>
    <w:rsid w:val="00F32C18"/>
    <w:rsid w:val="00F6205B"/>
    <w:rsid w:val="00F8379F"/>
    <w:rsid w:val="00F85115"/>
    <w:rsid w:val="00F918B5"/>
    <w:rsid w:val="00F939F4"/>
    <w:rsid w:val="00FA0875"/>
    <w:rsid w:val="00FB63B2"/>
    <w:rsid w:val="00FC1B0A"/>
    <w:rsid w:val="00FC73A0"/>
    <w:rsid w:val="00FD0B2B"/>
    <w:rsid w:val="00FE160E"/>
    <w:rsid w:val="00FE3B26"/>
    <w:rsid w:val="00FF4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DB78E2D"/>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EA074E"/>
    <w:pPr>
      <w:pBdr>
        <w:top w:val="nil"/>
        <w:left w:val="nil"/>
        <w:bottom w:val="nil"/>
        <w:right w:val="nil"/>
        <w:between w:val="nil"/>
        <w:bar w:val="nil"/>
      </w:pBdr>
    </w:pPr>
    <w:rPr>
      <w:rFonts w:eastAsia="Times New Roman"/>
      <w:color w:val="000000"/>
      <w:u w:color="000000"/>
      <w:bdr w:val="nil"/>
      <w:lang w:eastAsia="en-US"/>
    </w:rPr>
  </w:style>
  <w:style w:type="paragraph" w:styleId="berschrift2">
    <w:name w:val="heading 2"/>
    <w:basedOn w:val="Standard"/>
    <w:next w:val="Standard"/>
    <w:link w:val="berschrift2Zchn"/>
    <w:uiPriority w:val="9"/>
    <w:semiHidden/>
    <w:unhideWhenUsed/>
    <w:qFormat/>
    <w:rsid w:val="00F6205B"/>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rsid w:val="00A05B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A074E"/>
    <w:rPr>
      <w:u w:val="single"/>
    </w:rPr>
  </w:style>
  <w:style w:type="table" w:customStyle="1" w:styleId="TableNormal">
    <w:name w:val="Table Normal"/>
    <w:rsid w:val="00EA074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rsid w:val="00EA074E"/>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sid w:val="00EA074E"/>
    <w:rPr>
      <w:color w:val="0000FF"/>
      <w:u w:val="single" w:color="0000FF"/>
    </w:rPr>
  </w:style>
  <w:style w:type="character" w:customStyle="1" w:styleId="Hyperlink0">
    <w:name w:val="Hyperlink.0"/>
    <w:rsid w:val="00EA074E"/>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sid w:val="00F6205B"/>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rsid w:val="00FE160E"/>
    <w:pPr>
      <w:tabs>
        <w:tab w:val="center" w:pos="4536"/>
        <w:tab w:val="right" w:pos="9072"/>
      </w:tabs>
    </w:pPr>
  </w:style>
  <w:style w:type="character" w:customStyle="1" w:styleId="FuzeileZchn">
    <w:name w:val="Fußzeile Zchn"/>
    <w:link w:val="Fuzeile"/>
    <w:uiPriority w:val="99"/>
    <w:rsid w:val="00FE160E"/>
    <w:rPr>
      <w:rFonts w:eastAsia="Times New Roman"/>
      <w:color w:val="000000"/>
      <w:u w:color="000000"/>
      <w:bdr w:val="nil"/>
      <w:lang w:eastAsia="en-US"/>
    </w:rPr>
  </w:style>
  <w:style w:type="character" w:styleId="Fett">
    <w:name w:val="Strong"/>
    <w:uiPriority w:val="22"/>
    <w:qFormat/>
    <w:rsid w:val="00971E62"/>
    <w:rPr>
      <w:b/>
      <w:bCs/>
    </w:rPr>
  </w:style>
  <w:style w:type="paragraph" w:customStyle="1" w:styleId="Default">
    <w:name w:val="Default"/>
    <w:rsid w:val="00D072B0"/>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509A7"/>
    <w:rPr>
      <w:rFonts w:ascii="Segoe UI" w:hAnsi="Segoe UI" w:cs="Segoe UI"/>
      <w:sz w:val="18"/>
      <w:szCs w:val="18"/>
    </w:rPr>
  </w:style>
  <w:style w:type="character" w:customStyle="1" w:styleId="SprechblasentextZchn">
    <w:name w:val="Sprechblasentext Zchn"/>
    <w:link w:val="Sprechblasentext"/>
    <w:uiPriority w:val="99"/>
    <w:semiHidden/>
    <w:rsid w:val="002509A7"/>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rsid w:val="003022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rsid w:val="006756A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sid w:val="006756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A05B1C"/>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rsid w:val="00A05B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rsid w:val="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sid w:val="00151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e.Hammans@KD-Bank.de" TargetMode="External"/><Relationship Id="rId3" Type="http://schemas.openxmlformats.org/officeDocument/2006/relationships/webSettings" Target="webSettings.xml"/><Relationship Id="rId7" Type="http://schemas.openxmlformats.org/officeDocument/2006/relationships/hyperlink" Target="www.KD-Bank.de/ueberu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68A4BBC4.dotm</Template>
  <TotalTime>0</TotalTime>
  <Pages>2</Pages>
  <Words>578</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4213</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 </cp:lastModifiedBy>
  <cp:revision>4</cp:revision>
  <cp:lastPrinted>2020-06-08T09:23:00Z</cp:lastPrinted>
  <dcterms:created xsi:type="dcterms:W3CDTF">2020-06-08T09:21:00Z</dcterms:created>
  <dcterms:modified xsi:type="dcterms:W3CDTF">2020-06-08T09:23:00Z</dcterms:modified>
</cp:coreProperties>
</file>